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center"/>
        <w:rPr>
          <w:sz w:val="26"/>
          <w:szCs w:val="26"/>
        </w:rPr>
      </w:pPr>
      <w:r>
        <w:rPr>
          <w:rFonts w:cs="Arial" w:ascii="Arial" w:hAnsi="Arial"/>
          <w:b/>
          <w:color w:val="00000A"/>
          <w:sz w:val="26"/>
          <w:szCs w:val="26"/>
        </w:rPr>
        <w:t xml:space="preserve">О реализуемых и планируемых к реализации </w:t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r>
        <w:rPr>
          <w:rFonts w:cs="Arial" w:ascii="Arial" w:hAnsi="Arial"/>
          <w:b/>
          <w:color w:val="00000A"/>
          <w:sz w:val="26"/>
          <w:szCs w:val="26"/>
        </w:rPr>
        <w:t>инвестиционных проектов, учтенных в реестре инвестиционных проектов</w:t>
      </w:r>
    </w:p>
    <w:p>
      <w:pPr>
        <w:pStyle w:val="Normal"/>
        <w:spacing w:lineRule="auto" w:line="240"/>
        <w:jc w:val="center"/>
        <w:rPr/>
      </w:pPr>
      <w:r>
        <w:rPr>
          <w:rFonts w:cs="Arial" w:ascii="Arial" w:hAnsi="Arial"/>
          <w:b/>
          <w:color w:val="00000A"/>
          <w:sz w:val="26"/>
          <w:szCs w:val="26"/>
        </w:rPr>
        <w:t xml:space="preserve"> </w:t>
      </w:r>
      <w:r>
        <w:rPr>
          <w:rFonts w:cs="Arial" w:ascii="Arial" w:hAnsi="Arial"/>
          <w:b/>
          <w:color w:val="00000A"/>
          <w:sz w:val="26"/>
          <w:szCs w:val="26"/>
        </w:rPr>
        <w:t>Тюменской области по состоянию на 25.09.2017года.</w:t>
      </w:r>
    </w:p>
    <w:p>
      <w:pPr>
        <w:pStyle w:val="Normal"/>
        <w:shd w:val="clear" w:color="auto" w:fill="FFFFFF"/>
        <w:spacing w:lineRule="auto" w:line="240" w:before="0" w:after="240"/>
        <w:jc w:val="both"/>
        <w:rPr/>
      </w:pPr>
      <w:r>
        <w:rPr>
          <w:rFonts w:eastAsia="Times New Roman" w:cs="Arial" w:ascii="Arial" w:hAnsi="Arial"/>
          <w:color w:val="00000A"/>
          <w:sz w:val="24"/>
          <w:szCs w:val="24"/>
          <w:lang w:eastAsia="ru-RU"/>
        </w:rPr>
        <w:t xml:space="preserve">        </w:t>
      </w:r>
      <w:r>
        <w:rPr>
          <w:rFonts w:eastAsia="Times New Roman" w:cs="Arial" w:ascii="Arial" w:hAnsi="Arial"/>
          <w:color w:val="00000A"/>
          <w:sz w:val="24"/>
          <w:szCs w:val="24"/>
          <w:lang w:eastAsia="ru-RU"/>
        </w:rPr>
        <w:t xml:space="preserve">Привлечение инвестиций в экономику района остается одной из важных задач. Рост инвестиций напрямую влияет не только на увеличение налоговых поступлений в бюджет, создание новых рабочих мест, но и на уровень и качество жизни. </w:t>
      </w:r>
      <w:r>
        <w:rPr>
          <w:rFonts w:eastAsia="Times New Roman" w:cs="Arial" w:ascii="Arial" w:hAnsi="Arial"/>
          <w:color w:val="333333"/>
          <w:sz w:val="24"/>
          <w:szCs w:val="24"/>
          <w:lang w:eastAsia="ru-RU"/>
        </w:rPr>
        <w:t>Поэтому мы будем продолжать создавать комфортные условия и благоприятный инвестиционный климат для работы предпринимателей, направленные на повышение привлекательности района.</w:t>
      </w:r>
    </w:p>
    <w:p>
      <w:pPr>
        <w:pStyle w:val="Normal"/>
        <w:spacing w:lineRule="auto" w:line="276"/>
        <w:jc w:val="both"/>
        <w:rPr/>
      </w:pPr>
      <w:r>
        <w:rPr>
          <w:rFonts w:eastAsia="Calibri" w:cs="Arial" w:ascii="Arial" w:hAnsi="Arial"/>
          <w:b/>
          <w:bCs/>
          <w:sz w:val="24"/>
          <w:szCs w:val="24"/>
          <w:lang w:eastAsia="en-US"/>
        </w:rPr>
        <w:t xml:space="preserve">Второй год </w:t>
      </w:r>
      <w:r>
        <w:rPr>
          <w:rFonts w:eastAsia="Calibri" w:cs="Arial" w:ascii="Arial" w:hAnsi="Arial"/>
          <w:b w:val="false"/>
          <w:bCs w:val="false"/>
          <w:sz w:val="24"/>
          <w:szCs w:val="24"/>
          <w:lang w:eastAsia="en-US"/>
        </w:rPr>
        <w:t xml:space="preserve">подряд Голышмановский муниципальный район занимает    </w:t>
      </w:r>
      <w:r>
        <w:rPr>
          <w:rFonts w:eastAsia="Calibri" w:cs="Arial" w:ascii="Arial" w:hAnsi="Arial"/>
          <w:b w:val="false"/>
          <w:bCs w:val="false"/>
          <w:sz w:val="24"/>
          <w:szCs w:val="24"/>
          <w:u w:val="single"/>
          <w:lang w:eastAsia="en-US"/>
        </w:rPr>
        <w:t xml:space="preserve">1 место </w:t>
      </w:r>
      <w:r>
        <w:rPr>
          <w:rFonts w:eastAsia="Calibri" w:cs="Arial" w:ascii="Arial" w:hAnsi="Arial"/>
          <w:b w:val="false"/>
          <w:bCs w:val="false"/>
          <w:sz w:val="24"/>
          <w:szCs w:val="24"/>
          <w:lang w:eastAsia="en-US"/>
        </w:rPr>
        <w:t>(в 1 группе) по результатам комплексной оценки эффективности деятельности органов местного самоуправления Тюменской области. З</w:t>
      </w:r>
      <w:r>
        <w:rPr>
          <w:rFonts w:eastAsia="Times New Roman" w:cs="Arial" w:ascii="Arial" w:hAnsi="Arial"/>
          <w:b w:val="false"/>
          <w:bCs w:val="false"/>
          <w:color w:val="333333"/>
          <w:sz w:val="24"/>
          <w:szCs w:val="24"/>
          <w:lang w:eastAsia="ru-RU"/>
        </w:rPr>
        <w:t>а нами — Ишимский, Тюменский, Исетский, Абатский, Уватский и Омутинский районы.</w:t>
      </w:r>
    </w:p>
    <w:p>
      <w:pPr>
        <w:pStyle w:val="Style19"/>
        <w:shd w:val="clear" w:color="auto" w:fill="FFFFFF"/>
        <w:spacing w:lineRule="auto" w:line="276" w:before="0" w:after="240"/>
        <w:jc w:val="both"/>
        <w:rPr/>
      </w:pPr>
      <w:r>
        <w:rPr>
          <w:rFonts w:eastAsia="Times New Roman" w:cs="Arial" w:ascii="Arial" w:hAnsi="Arial"/>
          <w:color w:val="333333"/>
          <w:sz w:val="24"/>
          <w:szCs w:val="24"/>
          <w:lang w:eastAsia="ru-RU"/>
        </w:rPr>
        <w:t>Одним из показателей этой оценки являлся объем инвестиций в основной капитал.</w:t>
      </w:r>
    </w:p>
    <w:p>
      <w:pPr>
        <w:pStyle w:val="Style19"/>
        <w:shd w:val="clear" w:color="auto" w:fill="FFFFFF"/>
        <w:spacing w:lineRule="auto" w:line="276" w:before="0" w:after="240"/>
        <w:jc w:val="both"/>
        <w:rPr/>
      </w:pPr>
      <w:r>
        <w:rPr>
          <w:rFonts w:eastAsia="Times New Roman" w:cs="Arial" w:ascii="Arial" w:hAnsi="Arial"/>
          <w:color w:val="333333"/>
          <w:sz w:val="24"/>
          <w:szCs w:val="24"/>
          <w:lang w:eastAsia="ru-RU"/>
        </w:rPr>
        <w:t xml:space="preserve"> </w:t>
      </w:r>
      <w:r>
        <w:rPr>
          <w:rFonts w:eastAsia="Times New Roman" w:cs="Arial" w:ascii="Arial" w:hAnsi="Arial"/>
          <w:b/>
          <w:bCs/>
          <w:color w:val="333333"/>
          <w:sz w:val="24"/>
          <w:szCs w:val="24"/>
          <w:lang w:eastAsia="ru-RU"/>
        </w:rPr>
        <w:t>Объем инвестиций в основной капитал за 2016 год</w:t>
      </w:r>
      <w:r>
        <w:rPr>
          <w:rFonts w:eastAsia="Times New Roman" w:cs="Arial" w:ascii="Arial" w:hAnsi="Arial"/>
          <w:color w:val="333333"/>
          <w:sz w:val="24"/>
          <w:szCs w:val="24"/>
          <w:lang w:eastAsia="ru-RU"/>
        </w:rPr>
        <w:t xml:space="preserve"> составил </w:t>
      </w:r>
      <w:r>
        <w:rPr>
          <w:rFonts w:eastAsia="Times New Roman" w:cs="Arial" w:ascii="Arial" w:hAnsi="Arial"/>
          <w:b/>
          <w:bCs/>
          <w:color w:val="333333"/>
          <w:sz w:val="24"/>
          <w:szCs w:val="24"/>
          <w:lang w:eastAsia="ru-RU"/>
        </w:rPr>
        <w:t>2,1млрд.рублей</w:t>
      </w:r>
      <w:r>
        <w:rPr>
          <w:rFonts w:eastAsia="Times New Roman" w:cs="Arial" w:ascii="Arial" w:hAnsi="Arial"/>
          <w:color w:val="333333"/>
          <w:sz w:val="24"/>
          <w:szCs w:val="24"/>
          <w:lang w:eastAsia="ru-RU"/>
        </w:rPr>
        <w:t>, в расчете на душу населения приходится более 80тыс.рублей. По данному показателю в области мы занимаем 5 позицию после г.Тюмени, г.Тобольска, Уватского района, Тюменского района!</w:t>
      </w:r>
    </w:p>
    <w:tbl>
      <w:tblPr>
        <w:tblW w:w="10633" w:type="dxa"/>
        <w:jc w:val="left"/>
        <w:tblInd w:w="-17" w:type="dxa"/>
        <w:tblBorders>
          <w:top w:val="single" w:sz="4" w:space="0" w:color="424242"/>
          <w:left w:val="single" w:sz="4" w:space="0" w:color="00000A"/>
          <w:bottom w:val="single" w:sz="4" w:space="0" w:color="424242"/>
          <w:right w:val="single" w:sz="4" w:space="0" w:color="00000A"/>
          <w:insideH w:val="single" w:sz="4" w:space="0" w:color="424242"/>
          <w:insideV w:val="single" w:sz="4" w:space="0" w:color="00000A"/>
        </w:tblBorders>
        <w:tblCellMar>
          <w:top w:w="0" w:type="dxa"/>
          <w:left w:w="-5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44"/>
        <w:gridCol w:w="1045"/>
        <w:gridCol w:w="1172"/>
        <w:gridCol w:w="1157"/>
        <w:gridCol w:w="1137"/>
        <w:gridCol w:w="1087"/>
        <w:gridCol w:w="1155"/>
        <w:gridCol w:w="934"/>
      </w:tblGrid>
      <w:tr>
        <w:trPr>
          <w:trHeight w:val="321" w:hRule="atLeast"/>
        </w:trPr>
        <w:tc>
          <w:tcPr>
            <w:tcW w:w="2944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  <w:p>
            <w:pPr>
              <w:pStyle w:val="Normal"/>
              <w:spacing w:lineRule="auto" w:line="276" w:before="0" w:after="0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Инвестиции</w:t>
            </w:r>
          </w:p>
        </w:tc>
        <w:tc>
          <w:tcPr>
            <w:tcW w:w="1045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Ед.изм. 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2012год 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2013год 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2014год</w:t>
            </w:r>
          </w:p>
        </w:tc>
        <w:tc>
          <w:tcPr>
            <w:tcW w:w="1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2015год 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2016 год</w:t>
            </w:r>
          </w:p>
        </w:tc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A"/>
                <w:lang w:eastAsia="ru-RU"/>
              </w:rPr>
              <w:t>2016г. в % к 2012г. </w:t>
            </w:r>
          </w:p>
        </w:tc>
      </w:tr>
      <w:tr>
        <w:trPr>
          <w:trHeight w:val="495" w:hRule="atLeast"/>
        </w:trPr>
        <w:tc>
          <w:tcPr>
            <w:tcW w:w="2944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  <w:p>
            <w:pPr>
              <w:pStyle w:val="Normal"/>
              <w:spacing w:lineRule="auto" w:line="276" w:before="0" w:after="0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Объем инвестиций в основной капитал организаций</w:t>
            </w:r>
          </w:p>
        </w:tc>
        <w:tc>
          <w:tcPr>
            <w:tcW w:w="1045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млн. руб.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507,0</w:t>
            </w:r>
          </w:p>
        </w:tc>
        <w:tc>
          <w:tcPr>
            <w:tcW w:w="1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262,2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194,2</w:t>
            </w:r>
          </w:p>
        </w:tc>
        <w:tc>
          <w:tcPr>
            <w:tcW w:w="1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604,2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2101,1</w:t>
            </w:r>
          </w:p>
        </w:tc>
        <w:tc>
          <w:tcPr>
            <w:tcW w:w="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00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A"/>
                <w:lang w:eastAsia="ru-RU"/>
              </w:rPr>
              <w:t>В 4,1раза.</w:t>
            </w:r>
          </w:p>
        </w:tc>
      </w:tr>
    </w:tbl>
    <w:p>
      <w:pPr>
        <w:pStyle w:val="Style19"/>
        <w:shd w:val="clear" w:color="auto" w:fill="FFFFFF"/>
        <w:spacing w:lineRule="auto" w:line="276" w:before="0" w:after="240"/>
        <w:jc w:val="both"/>
        <w:rPr>
          <w:rFonts w:ascii="Arial" w:hAnsi="Arial" w:eastAsia="Times New Roman" w:cs="Arial"/>
          <w:color w:val="333333"/>
          <w:sz w:val="24"/>
          <w:szCs w:val="24"/>
          <w:lang w:eastAsia="ru-RU"/>
        </w:rPr>
      </w:pPr>
      <w:r>
        <w:rPr>
          <w:rFonts w:eastAsia="Times New Roman" w:cs="Arial" w:ascii="Arial" w:hAnsi="Arial"/>
          <w:color w:val="333333"/>
          <w:sz w:val="24"/>
          <w:szCs w:val="24"/>
          <w:lang w:eastAsia="ru-RU"/>
        </w:rPr>
      </w:r>
    </w:p>
    <w:p>
      <w:pPr>
        <w:pStyle w:val="BodyText2"/>
        <w:spacing w:lineRule="auto" w:line="240" w:before="0" w:after="0"/>
        <w:ind w:firstLine="708"/>
        <w:jc w:val="both"/>
        <w:rPr/>
      </w:pPr>
      <w:r>
        <w:rPr>
          <w:rFonts w:eastAsia="Times New Roman" w:cs="Arial" w:ascii="Arial" w:hAnsi="Arial"/>
          <w:color w:val="333333"/>
          <w:sz w:val="24"/>
          <w:szCs w:val="24"/>
          <w:lang w:eastAsia="ru-RU"/>
        </w:rPr>
        <w:t xml:space="preserve">Наибольший объем инвестиций был направлен на развитие сельского хозяйства и на производство и распределение электроэнергии, газа и воды — 94,5%. </w:t>
      </w:r>
    </w:p>
    <w:p>
      <w:pPr>
        <w:pStyle w:val="BodyText2"/>
        <w:spacing w:lineRule="auto" w:line="240" w:before="0" w:after="0"/>
        <w:ind w:firstLine="708"/>
        <w:jc w:val="both"/>
        <w:rPr>
          <w:rFonts w:ascii="Arial" w:hAnsi="Arial" w:eastAsia="Times New Roman" w:cs="Arial"/>
          <w:color w:val="333333"/>
          <w:sz w:val="24"/>
          <w:szCs w:val="24"/>
          <w:lang w:eastAsia="ru-RU"/>
        </w:rPr>
      </w:pPr>
      <w:r>
        <w:rPr>
          <w:rFonts w:eastAsia="Times New Roman" w:cs="Arial" w:ascii="Arial" w:hAnsi="Arial"/>
          <w:color w:val="333333"/>
          <w:sz w:val="24"/>
          <w:szCs w:val="24"/>
          <w:lang w:eastAsia="ru-RU"/>
        </w:rPr>
      </w:r>
    </w:p>
    <w:p>
      <w:pPr>
        <w:pStyle w:val="Pragm"/>
        <w:shd w:val="clear" w:color="auto" w:fill="FFFFFF"/>
        <w:spacing w:lineRule="auto" w:line="276" w:before="0" w:after="240"/>
        <w:jc w:val="both"/>
        <w:rPr/>
      </w:pPr>
      <w:r>
        <w:rPr>
          <w:rStyle w:val="Pragmatica"/>
          <w:rFonts w:eastAsia="Times New Roman" w:cs="Arial" w:ascii="Arial" w:hAnsi="Arial"/>
          <w:b/>
          <w:color w:val="00000A"/>
          <w:spacing w:val="-2"/>
          <w:sz w:val="24"/>
          <w:szCs w:val="24"/>
          <w:u w:val="single"/>
          <w:lang w:eastAsia="ru-RU"/>
        </w:rPr>
        <w:t xml:space="preserve"> </w:t>
      </w:r>
      <w:r>
        <w:rPr>
          <w:rStyle w:val="Pragmatica"/>
          <w:rFonts w:eastAsia="Times New Roman" w:cs="Arial" w:ascii="Arial" w:hAnsi="Arial"/>
          <w:b/>
          <w:color w:val="00000A"/>
          <w:spacing w:val="-2"/>
          <w:sz w:val="24"/>
          <w:szCs w:val="24"/>
          <w:u w:val="single"/>
          <w:lang w:eastAsia="ru-RU"/>
        </w:rPr>
        <w:t>Оборот  розничной торговли также отражает состояние не только экономики территории, но и ее платежеспособности</w:t>
      </w:r>
      <w:r>
        <w:rPr>
          <w:rStyle w:val="Pragmatica"/>
          <w:rFonts w:eastAsia="Times New Roman" w:cs="Arial" w:ascii="Arial" w:hAnsi="Arial"/>
          <w:color w:val="333333"/>
          <w:spacing w:val="-2"/>
          <w:sz w:val="24"/>
          <w:szCs w:val="24"/>
          <w:lang w:eastAsia="ru-RU"/>
        </w:rPr>
        <w:t xml:space="preserve"> - п</w:t>
      </w:r>
      <w:r>
        <w:rPr>
          <w:rStyle w:val="Pragmatica"/>
          <w:rFonts w:eastAsia="Times New Roman" w:cs="Arial" w:ascii="Arial" w:hAnsi="Arial"/>
          <w:color w:val="00000A"/>
          <w:spacing w:val="-2"/>
          <w:sz w:val="24"/>
          <w:szCs w:val="24"/>
          <w:lang w:eastAsia="ru-RU"/>
        </w:rPr>
        <w:t xml:space="preserve">о данному показателю район стабильно занимает </w:t>
      </w:r>
      <w:r>
        <w:rPr>
          <w:rStyle w:val="Pragmatica"/>
          <w:rFonts w:eastAsia="Times New Roman" w:cs="Arial" w:ascii="Arial" w:hAnsi="Arial"/>
          <w:b/>
          <w:bCs/>
          <w:color w:val="00000A"/>
          <w:spacing w:val="-2"/>
          <w:sz w:val="24"/>
          <w:szCs w:val="24"/>
          <w:lang w:eastAsia="ru-RU"/>
        </w:rPr>
        <w:t>8-9 место</w:t>
      </w:r>
      <w:r>
        <w:rPr>
          <w:rStyle w:val="Pragmatica"/>
          <w:rFonts w:eastAsia="Times New Roman" w:cs="Arial" w:ascii="Arial" w:hAnsi="Arial"/>
          <w:color w:val="00000A"/>
          <w:spacing w:val="-2"/>
          <w:sz w:val="24"/>
          <w:szCs w:val="24"/>
          <w:lang w:eastAsia="ru-RU"/>
        </w:rPr>
        <w:t xml:space="preserve"> среди 5 городов и 21 района юга Тюменской области. В 2012году -2,0млрд.руб. в 2016году – 2,950млрд.руб. рост на </w:t>
      </w:r>
      <w:r>
        <w:rPr>
          <w:rStyle w:val="Pragmatica"/>
          <w:rFonts w:eastAsia="Times New Roman" w:cs="Arial" w:ascii="Arial" w:hAnsi="Arial"/>
          <w:b/>
          <w:color w:val="00000A"/>
          <w:spacing w:val="-2"/>
          <w:sz w:val="24"/>
          <w:szCs w:val="24"/>
          <w:lang w:eastAsia="ru-RU"/>
        </w:rPr>
        <w:t>47,5%.</w:t>
      </w:r>
    </w:p>
    <w:p>
      <w:pPr>
        <w:pStyle w:val="Normal"/>
        <w:shd w:val="clear" w:color="auto" w:fill="FFFFFF"/>
        <w:spacing w:lineRule="auto" w:line="276" w:before="0" w:after="240"/>
        <w:jc w:val="both"/>
        <w:rPr/>
      </w:pPr>
      <w:r>
        <w:rPr>
          <w:rFonts w:eastAsia="Times New Roman" w:cs="Arial" w:ascii="Arial" w:hAnsi="Arial"/>
          <w:color w:val="333333"/>
          <w:sz w:val="24"/>
          <w:szCs w:val="24"/>
          <w:lang w:eastAsia="ru-RU"/>
        </w:rPr>
        <w:t>Развитие малого и среднего предпринимательства на территории района характеризуется следующими показателями:</w:t>
      </w:r>
    </w:p>
    <w:tbl>
      <w:tblPr>
        <w:tblW w:w="10633" w:type="dxa"/>
        <w:jc w:val="left"/>
        <w:tblInd w:w="-17" w:type="dxa"/>
        <w:tblBorders>
          <w:top w:val="single" w:sz="4" w:space="0" w:color="424242"/>
          <w:left w:val="single" w:sz="4" w:space="0" w:color="00000A"/>
          <w:bottom w:val="single" w:sz="4" w:space="0" w:color="424242"/>
          <w:right w:val="single" w:sz="4" w:space="0" w:color="00000A"/>
          <w:insideH w:val="single" w:sz="4" w:space="0" w:color="424242"/>
          <w:insideV w:val="single" w:sz="4" w:space="0" w:color="00000A"/>
        </w:tblBorders>
        <w:tblCellMar>
          <w:top w:w="0" w:type="dxa"/>
          <w:left w:w="-5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13"/>
        <w:gridCol w:w="988"/>
        <w:gridCol w:w="1052"/>
        <w:gridCol w:w="988"/>
        <w:gridCol w:w="1191"/>
        <w:gridCol w:w="1226"/>
        <w:gridCol w:w="1209"/>
        <w:gridCol w:w="964"/>
      </w:tblGrid>
      <w:tr>
        <w:trPr>
          <w:trHeight w:val="406" w:hRule="atLeast"/>
        </w:trPr>
        <w:tc>
          <w:tcPr>
            <w:tcW w:w="3013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988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Ед.изм. 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2012год </w:t>
            </w:r>
          </w:p>
        </w:tc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2013год </w:t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2014год</w:t>
            </w:r>
          </w:p>
        </w:tc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2015год 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2016год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b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eastAsia="Calibri" w:cs="" w:cstheme="minorBidi" w:eastAsiaTheme="minorHAnsi"/>
                <w:b/>
                <w:bCs/>
                <w:sz w:val="24"/>
                <w:szCs w:val="24"/>
              </w:rPr>
              <w:t>На 25.09.</w:t>
            </w:r>
          </w:p>
          <w:p>
            <w:pPr>
              <w:pStyle w:val="Normal"/>
              <w:spacing w:lineRule="auto" w:line="276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b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eastAsia="Calibri" w:cs="" w:cstheme="minorBidi" w:eastAsiaTheme="minorHAnsi"/>
                <w:b/>
                <w:bCs/>
                <w:sz w:val="24"/>
                <w:szCs w:val="24"/>
              </w:rPr>
              <w:t>2017</w:t>
            </w:r>
          </w:p>
        </w:tc>
      </w:tr>
      <w:tr>
        <w:trPr>
          <w:trHeight w:val="986" w:hRule="atLeast"/>
        </w:trPr>
        <w:tc>
          <w:tcPr>
            <w:tcW w:w="3013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Число субъектов малого и среднего предпринимательства (СМСП) в т.ч.:</w:t>
            </w:r>
          </w:p>
        </w:tc>
        <w:tc>
          <w:tcPr>
            <w:tcW w:w="988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единиц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638</w:t>
            </w:r>
          </w:p>
        </w:tc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596</w:t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663</w:t>
            </w:r>
          </w:p>
        </w:tc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681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593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b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eastAsia="Calibri" w:cs="" w:cstheme="minorBidi" w:eastAsiaTheme="minorHAnsi"/>
                <w:b/>
                <w:bCs/>
                <w:sz w:val="24"/>
                <w:szCs w:val="24"/>
              </w:rPr>
              <w:t>535</w:t>
            </w:r>
          </w:p>
        </w:tc>
      </w:tr>
      <w:tr>
        <w:trPr>
          <w:trHeight w:val="406" w:hRule="atLeast"/>
        </w:trPr>
        <w:tc>
          <w:tcPr>
            <w:tcW w:w="3013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ind w:firstLine="22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юридических лиц</w:t>
            </w:r>
          </w:p>
        </w:tc>
        <w:tc>
          <w:tcPr>
            <w:tcW w:w="988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единиц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127</w:t>
            </w:r>
          </w:p>
        </w:tc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126</w:t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125</w:t>
            </w:r>
          </w:p>
        </w:tc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128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135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b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eastAsia="Calibri" w:cs="" w:cstheme="minorBidi" w:eastAsiaTheme="minorHAnsi"/>
                <w:b/>
                <w:bCs/>
                <w:sz w:val="24"/>
                <w:szCs w:val="24"/>
              </w:rPr>
              <w:t>124</w:t>
            </w:r>
          </w:p>
        </w:tc>
      </w:tr>
      <w:tr>
        <w:trPr>
          <w:trHeight w:val="372" w:hRule="atLeast"/>
        </w:trPr>
        <w:tc>
          <w:tcPr>
            <w:tcW w:w="3013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ind w:firstLine="22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индивидуальных предпринимателей </w:t>
            </w:r>
          </w:p>
        </w:tc>
        <w:tc>
          <w:tcPr>
            <w:tcW w:w="988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единиц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511</w:t>
            </w:r>
          </w:p>
        </w:tc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470</w:t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538</w:t>
            </w:r>
          </w:p>
        </w:tc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553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458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b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eastAsia="Calibri" w:cs="" w:cstheme="minorBidi" w:eastAsiaTheme="minorHAnsi"/>
                <w:b/>
                <w:bCs/>
                <w:sz w:val="24"/>
                <w:szCs w:val="24"/>
              </w:rPr>
              <w:t>411</w:t>
            </w:r>
          </w:p>
        </w:tc>
      </w:tr>
      <w:tr>
        <w:trPr>
          <w:trHeight w:val="627" w:hRule="atLeast"/>
        </w:trPr>
        <w:tc>
          <w:tcPr>
            <w:tcW w:w="3013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Численность работающих, в малом и среднем предпринимательстве </w:t>
            </w:r>
          </w:p>
        </w:tc>
        <w:tc>
          <w:tcPr>
            <w:tcW w:w="988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человек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2164</w:t>
            </w:r>
          </w:p>
        </w:tc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2000</w:t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2010</w:t>
            </w:r>
          </w:p>
        </w:tc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2110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2090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b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eastAsia="Calibri" w:cs="" w:cstheme="minorBidi" w:eastAsiaTheme="minorHAnsi"/>
                <w:b/>
                <w:bCs/>
                <w:sz w:val="24"/>
                <w:szCs w:val="24"/>
              </w:rPr>
              <w:t>2070</w:t>
            </w:r>
          </w:p>
        </w:tc>
      </w:tr>
      <w:tr>
        <w:trPr>
          <w:trHeight w:val="458" w:hRule="atLeast"/>
        </w:trPr>
        <w:tc>
          <w:tcPr>
            <w:tcW w:w="3013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юридических лиц</w:t>
            </w:r>
          </w:p>
        </w:tc>
        <w:tc>
          <w:tcPr>
            <w:tcW w:w="988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человек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1360</w:t>
            </w:r>
          </w:p>
        </w:tc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1350</w:t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1330</w:t>
            </w:r>
          </w:p>
        </w:tc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1335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1400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b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eastAsia="Calibri" w:cs="" w:cstheme="minorBidi" w:eastAsiaTheme="minorHAnsi"/>
                <w:b/>
                <w:bCs/>
                <w:sz w:val="24"/>
                <w:szCs w:val="24"/>
              </w:rPr>
              <w:t>1420</w:t>
            </w:r>
          </w:p>
        </w:tc>
      </w:tr>
      <w:tr>
        <w:trPr>
          <w:trHeight w:val="592" w:hRule="atLeast"/>
        </w:trPr>
        <w:tc>
          <w:tcPr>
            <w:tcW w:w="3013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индивидуальных предпринимателей </w:t>
            </w:r>
          </w:p>
        </w:tc>
        <w:tc>
          <w:tcPr>
            <w:tcW w:w="988" w:type="dxa"/>
            <w:tcBorders>
              <w:top w:val="single" w:sz="4" w:space="0" w:color="424242"/>
              <w:left w:val="single" w:sz="4" w:space="0" w:color="00000A"/>
              <w:bottom w:val="single" w:sz="4" w:space="0" w:color="424242"/>
              <w:right w:val="single" w:sz="4" w:space="0" w:color="00000A"/>
              <w:insideH w:val="single" w:sz="4" w:space="0" w:color="424242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человек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-5" w:type="dxa"/>
            </w:tcMar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804</w:t>
            </w:r>
          </w:p>
        </w:tc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650</w:t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680</w:t>
            </w:r>
          </w:p>
        </w:tc>
        <w:tc>
          <w:tcPr>
            <w:tcW w:w="1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775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690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b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eastAsia="Calibri" w:cs="" w:cstheme="minorBidi" w:eastAsiaTheme="minorHAnsi"/>
                <w:b/>
                <w:bCs/>
                <w:sz w:val="24"/>
                <w:szCs w:val="24"/>
              </w:rPr>
              <w:t>650</w:t>
            </w:r>
          </w:p>
        </w:tc>
      </w:tr>
    </w:tbl>
    <w:p>
      <w:pPr>
        <w:pStyle w:val="Normal"/>
        <w:widowControl w:val="false"/>
        <w:suppressAutoHyphens w:val="true"/>
        <w:spacing w:lineRule="auto" w:line="276" w:before="0" w:after="0"/>
        <w:ind w:firstLine="680"/>
        <w:jc w:val="both"/>
        <w:rPr>
          <w:rStyle w:val="Pragmatica"/>
        </w:rPr>
      </w:pPr>
      <w:r>
        <w:rPr>
          <w:rFonts w:eastAsia="Times New Roman" w:cs="Arial" w:ascii="Arial" w:hAnsi="Arial"/>
          <w:b/>
          <w:color w:val="00000A"/>
          <w:spacing w:val="-2"/>
          <w:sz w:val="24"/>
          <w:szCs w:val="24"/>
          <w:u w:val="single"/>
          <w:lang w:eastAsia="ru-RU"/>
        </w:rPr>
      </w:r>
    </w:p>
    <w:p>
      <w:pPr>
        <w:pStyle w:val="Normal"/>
        <w:widowControl w:val="false"/>
        <w:suppressAutoHyphens w:val="true"/>
        <w:spacing w:lineRule="auto" w:line="276" w:before="0" w:after="0"/>
        <w:ind w:firstLine="680"/>
        <w:jc w:val="both"/>
        <w:rPr/>
      </w:pPr>
      <w:r>
        <w:rPr>
          <w:rFonts w:eastAsia="Times New Roman" w:cs="Arial" w:ascii="Arial" w:hAnsi="Arial"/>
          <w:sz w:val="24"/>
          <w:szCs w:val="24"/>
        </w:rPr>
        <w:t xml:space="preserve">Основным видом деятельности малых и средних предприятий в районе является торгово-закупочная деятельность – 74%. Привлекательность данной сферы объясняется, прежде всего, относительно быстрой окупаемостью вложенных средств, стабильным потребительским спросом. За ней следует сельское хозяйство – 9% и строительная отрасль – 6%, другие виды производственной деятельности (различные виды услуг) – 11%. 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firstLine="720"/>
        <w:jc w:val="both"/>
        <w:outlineLvl w:val="1"/>
        <w:rPr/>
      </w:pPr>
      <w:r>
        <w:rPr>
          <w:rFonts w:eastAsia="Times New Roman" w:cs="Arial" w:ascii="Arial" w:hAnsi="Arial"/>
          <w:color w:val="000000"/>
          <w:sz w:val="24"/>
          <w:szCs w:val="24"/>
          <w:lang w:eastAsia="ru-RU"/>
        </w:rPr>
        <w:t>Анализируя численность работников занятых в сфере малого и среднего предпринимательства, можно отметить, что в 2016 году наибольший процент приходится на: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76" w:before="0" w:after="0"/>
        <w:ind w:firstLine="720"/>
        <w:jc w:val="both"/>
        <w:outlineLvl w:val="1"/>
        <w:rPr>
          <w:rFonts w:eastAsia="Times New Roman"/>
          <w:b/>
          <w:b/>
          <w:color w:val="00000A"/>
          <w:lang w:eastAsia="ru-RU"/>
        </w:rPr>
      </w:pPr>
      <w:r>
        <w:rPr>
          <w:rStyle w:val="Pragmatica"/>
          <w:rFonts w:eastAsia="Times New Roman" w:cs="Arial" w:ascii="Arial" w:hAnsi="Arial"/>
          <w:b/>
          <w:color w:val="000000"/>
          <w:sz w:val="24"/>
          <w:szCs w:val="24"/>
          <w:lang w:eastAsia="ru-RU"/>
        </w:rPr>
        <w:t xml:space="preserve">- торговля и сфера услуг -50%; - сельское хозяйство -21%; </w:t>
      </w:r>
      <w:bookmarkStart w:id="0" w:name="_GoBack1"/>
      <w:bookmarkEnd w:id="0"/>
      <w:r>
        <w:rPr>
          <w:rStyle w:val="Pragmatica"/>
          <w:rFonts w:eastAsia="Times New Roman" w:cs="Arial" w:ascii="Arial" w:hAnsi="Arial"/>
          <w:b/>
          <w:color w:val="000000"/>
          <w:sz w:val="24"/>
          <w:szCs w:val="24"/>
          <w:lang w:eastAsia="ru-RU"/>
        </w:rPr>
        <w:t>- строительство -18%; - прочие виды деятельности -11%.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76" w:before="0" w:after="0"/>
        <w:ind w:firstLine="720"/>
        <w:jc w:val="both"/>
        <w:outlineLvl w:val="1"/>
        <w:rPr>
          <w:rStyle w:val="Pragmatica"/>
        </w:rPr>
      </w:pPr>
      <w:r>
        <w:rPr>
          <w:rFonts w:cs="Arial" w:ascii="Arial" w:hAnsi="Arial"/>
          <w:color w:val="000000"/>
          <w:sz w:val="24"/>
          <w:szCs w:val="24"/>
          <w:highlight w:val="white"/>
        </w:rPr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76" w:before="0" w:after="0"/>
        <w:ind w:firstLine="720"/>
        <w:jc w:val="both"/>
        <w:outlineLvl w:val="1"/>
        <w:rPr/>
      </w:pPr>
      <w:r>
        <w:rPr>
          <w:rStyle w:val="Pragmatica"/>
          <w:rFonts w:eastAsia="Times New Roman" w:cs="Arial" w:ascii="Arial" w:hAnsi="Arial"/>
          <w:b/>
          <w:color w:val="000000"/>
          <w:sz w:val="24"/>
          <w:szCs w:val="24"/>
          <w:lang w:eastAsia="ru-RU"/>
        </w:rPr>
        <w:t xml:space="preserve">7 сентября 2017года </w:t>
      </w:r>
      <w:r>
        <w:rPr>
          <w:rFonts w:ascii="Arial" w:hAnsi="Arial"/>
          <w:sz w:val="24"/>
          <w:szCs w:val="24"/>
        </w:rPr>
        <w:t xml:space="preserve">на очередном заседании Совета по улучшению инвестиционного климата при Губернаторе Тюменской области была представлена новая модель оценки экономической активности муниципалитетов в сфере развитие экономики и инвестиционной деятельности. Этот документ утвержден распоряжением Правительства Тюменской области </w:t>
      </w:r>
      <w:r>
        <w:rPr>
          <w:rFonts w:ascii="Arial" w:hAnsi="Arial"/>
          <w:b/>
          <w:bCs/>
          <w:sz w:val="24"/>
          <w:szCs w:val="24"/>
        </w:rPr>
        <w:t xml:space="preserve">№1065рп от 06.09.2017года. 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76" w:before="0" w:after="0"/>
        <w:ind w:firstLine="720"/>
        <w:jc w:val="both"/>
        <w:outlineLvl w:val="1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При подведении итогов будет учитываться 6 показателей: 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76" w:before="0" w:after="0"/>
        <w:ind w:firstLine="720"/>
        <w:jc w:val="both"/>
        <w:outlineLvl w:val="1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1. количество создаваемых рабочих мест в рамках завершенных инвестиционных проектов (и учтенных в реестре) за год в расчете на 10 тыс. человек,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76" w:before="0" w:after="0"/>
        <w:ind w:firstLine="720"/>
        <w:jc w:val="both"/>
        <w:outlineLvl w:val="1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2. число реализуемых и сопровождаемых инвестиционных проектов, 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76" w:before="0" w:after="0"/>
        <w:ind w:firstLine="720"/>
        <w:jc w:val="both"/>
        <w:outlineLvl w:val="1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3. вновь созданных субъектов малого и среднего предпринимательства в расчете на 10 тыс. человек, 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76" w:before="0" w:after="0"/>
        <w:ind w:firstLine="720"/>
        <w:jc w:val="both"/>
        <w:outlineLvl w:val="1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4. доходы местного бюджета от поступления местных налогов на душу населения,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76" w:before="0" w:after="0"/>
        <w:ind w:firstLine="720"/>
        <w:jc w:val="both"/>
        <w:outlineLvl w:val="1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5. доля закупок продукции производителей Тюменской области в общем объеме закупок продуктов питания по производимому в Тюменской области ассортименту, осуществленных органами местного самоуправления Тюменской области, подведомственными им учреждениями,%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76" w:before="0" w:after="0"/>
        <w:ind w:firstLine="720"/>
        <w:jc w:val="both"/>
        <w:outlineLvl w:val="1"/>
        <w:rPr/>
      </w:pPr>
      <w:r>
        <w:rPr>
          <w:rFonts w:ascii="Arial" w:hAnsi="Arial"/>
          <w:sz w:val="24"/>
          <w:szCs w:val="24"/>
        </w:rPr>
        <w:t xml:space="preserve">6.оценка предпринимательским сообществом эффективности деятельности органов местного самоуправления Тюменской области по обеспечению условий для развития предпринимательского и инвестиционного климата и конкуренции, которая в свою очередь включает 11 вопросов на которые должны ответить предприниматели. 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76" w:before="0" w:after="0"/>
        <w:ind w:firstLine="720"/>
        <w:jc w:val="both"/>
        <w:outlineLvl w:val="1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76" w:before="0" w:after="0"/>
        <w:ind w:firstLine="720"/>
        <w:jc w:val="both"/>
        <w:outlineLvl w:val="1"/>
        <w:rPr/>
      </w:pPr>
      <w:r>
        <w:rPr>
          <w:rFonts w:ascii="Arial" w:hAnsi="Arial"/>
          <w:b/>
          <w:bCs/>
          <w:sz w:val="24"/>
          <w:szCs w:val="24"/>
        </w:rPr>
        <w:t>Перерасчет показателей по новой методике за 2016 год будет проведен до 15 ноября 2017 года по данным областных департаментов отвечающих за показатели оценки.</w:t>
      </w:r>
    </w:p>
    <w:p>
      <w:pPr>
        <w:pStyle w:val="ConsPlusNormal"/>
        <w:numPr>
          <w:ilvl w:val="0"/>
          <w:numId w:val="0"/>
        </w:numPr>
        <w:shd w:val="clear" w:color="auto" w:fill="FFFFFF"/>
        <w:tabs>
          <w:tab w:val="left" w:pos="0" w:leader="none"/>
        </w:tabs>
        <w:spacing w:lineRule="auto" w:line="276" w:before="0" w:after="0"/>
        <w:ind w:left="0" w:right="0" w:firstLine="540"/>
        <w:jc w:val="both"/>
        <w:outlineLvl w:val="1"/>
        <w:rPr/>
      </w:pPr>
      <w:r>
        <w:rPr>
          <w:rStyle w:val="Pragmatica"/>
          <w:rFonts w:eastAsia="Times New Roman" w:cs="Arial" w:ascii="Arial" w:hAnsi="Arial"/>
          <w:b/>
          <w:bCs/>
          <w:color w:val="000000"/>
          <w:sz w:val="24"/>
          <w:szCs w:val="24"/>
          <w:lang w:eastAsia="ru-RU"/>
        </w:rPr>
        <w:t>По итогам рейтинга первым 10 муниципалитетам будут выделены гранты от 10 до 1 млн.руб.</w:t>
      </w:r>
    </w:p>
    <w:p>
      <w:pPr>
        <w:pStyle w:val="ConsPlusNormal"/>
        <w:numPr>
          <w:ilvl w:val="0"/>
          <w:numId w:val="0"/>
        </w:numPr>
        <w:shd w:val="clear" w:color="auto" w:fill="FFFFFF"/>
        <w:spacing w:lineRule="auto" w:line="276" w:before="0" w:after="0"/>
        <w:ind w:left="0" w:right="0" w:firstLine="540"/>
        <w:jc w:val="both"/>
        <w:outlineLvl w:val="1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Порядок формирования реестра инвестиционных проектов, реестра инфраструктурных площадок в Тюменской области утвержден распоряжением Правительства Тюменской области № 304-рп. 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76" w:before="0" w:after="0"/>
        <w:ind w:firstLine="720"/>
        <w:jc w:val="both"/>
        <w:outlineLvl w:val="1"/>
        <w:rPr>
          <w:rFonts w:ascii="Arial" w:hAnsi="Arial" w:cs="Arial"/>
          <w:color w:val="00000A"/>
        </w:rPr>
      </w:pPr>
      <w:r>
        <w:rPr>
          <w:rFonts w:cs="Arial" w:ascii="Arial" w:hAnsi="Arial"/>
          <w:color w:val="00000A"/>
        </w:rPr>
      </w:r>
    </w:p>
    <w:p>
      <w:pPr>
        <w:pStyle w:val="Normal"/>
        <w:numPr>
          <w:ilvl w:val="0"/>
          <w:numId w:val="0"/>
        </w:numPr>
        <w:shd w:val="clear" w:color="auto" w:fill="FFFFFF"/>
        <w:tabs>
          <w:tab w:val="left" w:pos="0" w:leader="none"/>
        </w:tabs>
        <w:spacing w:lineRule="auto" w:line="276" w:before="0" w:after="0"/>
        <w:ind w:hanging="0"/>
        <w:jc w:val="both"/>
        <w:outlineLvl w:val="1"/>
        <w:rPr>
          <w:rFonts w:ascii="Arial" w:hAnsi="Arial"/>
          <w:sz w:val="24"/>
          <w:szCs w:val="24"/>
        </w:rPr>
      </w:pPr>
      <w:r>
        <w:rPr>
          <w:rFonts w:cs="Arial" w:ascii="Arial" w:hAnsi="Arial"/>
          <w:color w:val="00000A"/>
          <w:sz w:val="24"/>
          <w:szCs w:val="24"/>
        </w:rPr>
        <w:t xml:space="preserve">    </w:t>
      </w:r>
      <w:r>
        <w:rPr>
          <w:rFonts w:cs="Arial" w:ascii="Arial" w:hAnsi="Arial"/>
          <w:color w:val="00000A"/>
          <w:sz w:val="24"/>
          <w:szCs w:val="24"/>
        </w:rPr>
        <w:t xml:space="preserve">В Реестре разделы "Сопровождаемые" и "Реализованные" Инвестиционные проекты стоимостью до 300млн.рублей формируются Инвестиционным агентством Тюменской области.  </w:t>
      </w:r>
    </w:p>
    <w:p>
      <w:pPr>
        <w:pStyle w:val="ConsPlusNormal"/>
        <w:numPr>
          <w:ilvl w:val="0"/>
          <w:numId w:val="0"/>
        </w:numPr>
        <w:shd w:val="clear" w:color="auto" w:fill="FFFFFF"/>
        <w:tabs>
          <w:tab w:val="left" w:pos="0" w:leader="none"/>
        </w:tabs>
        <w:spacing w:lineRule="auto" w:line="276" w:before="0" w:after="0"/>
        <w:ind w:left="0" w:right="0" w:firstLine="540"/>
        <w:jc w:val="both"/>
        <w:outlineLvl w:val="1"/>
        <w:rPr>
          <w:rFonts w:ascii="Arial" w:hAnsi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color w:val="00000A"/>
          <w:sz w:val="24"/>
          <w:szCs w:val="24"/>
        </w:rPr>
        <w:t>Раздел "Реализуемые" Реестра инвестиционных проектов формирует Департамент инвестиционной политики и государственной поддержки предпринимательства по информации, предоставленной администрациями городских округов и муниципальных районов Тюменской области.</w:t>
      </w:r>
    </w:p>
    <w:p>
      <w:pPr>
        <w:pStyle w:val="ConsPlusNormal"/>
        <w:numPr>
          <w:ilvl w:val="0"/>
          <w:numId w:val="0"/>
        </w:numPr>
        <w:shd w:val="clear" w:color="auto" w:fill="FFFFFF"/>
        <w:tabs>
          <w:tab w:val="left" w:pos="0" w:leader="none"/>
        </w:tabs>
        <w:spacing w:lineRule="auto" w:line="276" w:before="0" w:after="0"/>
        <w:ind w:left="0" w:right="0" w:firstLine="540"/>
        <w:jc w:val="both"/>
        <w:outlineLvl w:val="1"/>
        <w:rPr>
          <w:rFonts w:ascii="Arial" w:hAnsi="Arial"/>
          <w:sz w:val="24"/>
          <w:szCs w:val="24"/>
        </w:rPr>
      </w:pPr>
      <w:r>
        <w:rPr>
          <w:rFonts w:cs="Arial" w:ascii="Arial" w:hAnsi="Arial"/>
          <w:bCs/>
          <w:color w:val="00000A"/>
          <w:sz w:val="24"/>
          <w:szCs w:val="24"/>
        </w:rPr>
        <w:t>Разделы "Сопровождаемые" и "Реализованные" Реестра инвестиционных проектов с объемом инвестиций свыше 300 миллионов рублей, а также проектов до 300 миллионов рублей, инициаторы которых не являются субъектами малого и среднего предпринимательства, формирует Департамент инвестиционной политики и государственной поддержки предпринимательства Тюменской области.</w:t>
      </w:r>
    </w:p>
    <w:p>
      <w:pPr>
        <w:pStyle w:val="ConsPlusNormal"/>
        <w:numPr>
          <w:ilvl w:val="0"/>
          <w:numId w:val="0"/>
        </w:numPr>
        <w:shd w:val="clear" w:color="auto" w:fill="FFFFFF"/>
        <w:tabs>
          <w:tab w:val="left" w:pos="0" w:leader="none"/>
        </w:tabs>
        <w:spacing w:lineRule="auto" w:line="276" w:before="0" w:after="0"/>
        <w:ind w:left="0" w:right="0" w:firstLine="540"/>
        <w:jc w:val="both"/>
        <w:outlineLvl w:val="1"/>
        <w:rPr>
          <w:rStyle w:val="Pragmatica"/>
        </w:rPr>
      </w:pPr>
      <w:r>
        <w:rPr>
          <w:rFonts w:cs="Arial" w:ascii="Arial" w:hAnsi="Arial"/>
          <w:color w:val="000000"/>
          <w:sz w:val="24"/>
          <w:szCs w:val="24"/>
          <w:highlight w:val="white"/>
        </w:rPr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/>
          <w:bCs/>
          <w:color w:val="00000A"/>
          <w:sz w:val="24"/>
          <w:szCs w:val="24"/>
        </w:rPr>
        <w:t xml:space="preserve">Сегодня в Реестре инвестиционных проектов Тюменской области 25 инвестиционных проекта, в т.ч. 2 проекта свыше 300 млн.руб. 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- Инвестиционный проект по строительству товарного молочного комплекса на 4600 фуражных коров в с.Усть-Ламенка. (сопровождаемый). </w:t>
      </w:r>
      <w:bookmarkStart w:id="1" w:name="__DdeLink__547_1683037663"/>
      <w:bookmarkEnd w:id="1"/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5700млн.руб. Планируемое количество рабочих мест - 250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- Строительство молочно-товарной фермы на 1200 голов в с.Боровлянка (ООО Сибирия)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</w:rPr>
        <w:t>(реализованный) — (2016 год).</w:t>
      </w: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541млн.руб. Вновь созданных рабочих мест - 40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</w:rPr>
        <w:t>23 проекта менее 300млн.руб., в т.ч. сопровождаемых  (фондом ИАТО) 6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 xml:space="preserve"> проектов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</w:rPr>
        <w:t>: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>1. строительство производственных помещений для переработки древесины (ИП Субботин)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20млн.руб. Планируемое количество рабочих мест - 15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2. реконструкция мастерской для размещения производственных цехов по изготовлению мебели (ИП Стаценко А.С.)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6млн.руб. Планируемое количество рабочих мест - 9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3. организация производства мукомольной и крупяной продукции (ООО Север — 2)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37млн.руб. Планируемое количество рабочих мест - 25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>4. реконструкция  придорожного автокомплекса «ДИОНИС» (ООО Исток)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 xml:space="preserve">Объем инвестиций 22млн.руб. Планируемое количество рабочих мест - 5 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>5. создание комплексной инфраструктуры по переработке биологических отходов в Тюменской области (ООО Нов-Экология).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50млн.руб. Планируемое количество рабочих мест - 52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6. Строительство молочно-товарной фермы на 25 голов, приобретение кормозаготовительного комплекса (ИП Глава КФХ Симбабаев Б.К.)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5,25млн.руб. Планируемое количество рабочих мест - 4</w:t>
      </w:r>
    </w:p>
    <w:p>
      <w:pPr>
        <w:pStyle w:val="Normal"/>
        <w:tabs>
          <w:tab w:val="left" w:pos="0" w:leader="none"/>
        </w:tabs>
        <w:jc w:val="both"/>
        <w:rPr>
          <w:i w:val="false"/>
          <w:i w:val="false"/>
          <w:iCs w:val="false"/>
        </w:rPr>
      </w:pP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</w:rPr>
        <w:t>6 проектов в разделе реализуемые: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>1. Модернизация сельскохозяйственного производства: капитальный ремонт зерносклада, строительство гаража и склада, приобретение трактора К-744Р3 и кормосмесителя, реконструкция  старой базы, увеличение  коров  на  200 голов. (ИП КФХ «Исмаков Ж.К).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82,3млн.руб. Планируемое количество рабочих мест - 40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2. расширение животноводческого комплекса (ЛПХ Мерабишвили)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3млн.руб. Планируемое количество рабочих мест - 2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3. строительство зерносклада в д.Новая Хмелевка (ИП Коняшин ВФ)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2млн.руб. Планируемое количество рабочих мест - 1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>4. Строительство объекта придорожного сервиса (ООО Центр 72)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40млн.руб. Планируемое количество рабочих мест - 23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5. строительство придорожного комплекса (ООО Топливный дорожный сервис)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35млн.руб. Планируемое количество рабочих мест - 22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>6. строительство магазина смешанных товаров с.Медведево (ИП Скареднова ВГ)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3млн.руб. Планируемое количество рабочих мест — 5.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</w:rPr>
        <w:t xml:space="preserve"> 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</w:rPr>
        <w:t>11 проектов в разделе реализованные:</w:t>
      </w:r>
    </w:p>
    <w:p>
      <w:pPr>
        <w:pStyle w:val="Normal"/>
        <w:tabs>
          <w:tab w:val="left" w:pos="0" w:leader="none"/>
        </w:tabs>
        <w:jc w:val="both"/>
        <w:rPr>
          <w:b/>
          <w:b/>
          <w:bCs/>
          <w:i w:val="false"/>
          <w:i w:val="false"/>
          <w:iCs w:val="false"/>
        </w:rPr>
      </w:pP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</w:rPr>
        <w:t xml:space="preserve">2015 год: 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1. строительство цеха по изготовлению металлоконструкций (ИП Пуртов АА) —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1,75млн.руб. Вновь созданных рабочих мест - 2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>2. строительство стоматологической клиники (ООО Голдент) -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13,5млн.руб. Вновь созданных рабочих мест - 23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3. организация производства по переработке твердых отходов — пластиковой бутылки (ООО Жилстрой) —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30,79млн.руб. Вновь созданных рабочих мест - 6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4. открытие клининговой компании «Чистый дом — универсал» (ИП Ледакова ЕЮ) —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2,55млн.руб. Вновь созданных рабочих мест - 3</w:t>
      </w:r>
    </w:p>
    <w:p>
      <w:pPr>
        <w:pStyle w:val="Normal"/>
        <w:tabs>
          <w:tab w:val="left" w:pos="0" w:leader="none"/>
        </w:tabs>
        <w:jc w:val="both"/>
        <w:rPr>
          <w:b/>
          <w:b/>
          <w:bCs/>
          <w:i w:val="false"/>
          <w:i w:val="false"/>
          <w:iCs w:val="false"/>
        </w:rPr>
      </w:pP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</w:rPr>
        <w:t>ИТОГО за 2015 год - 34 человека.</w:t>
      </w:r>
    </w:p>
    <w:p>
      <w:pPr>
        <w:pStyle w:val="Normal"/>
        <w:tabs>
          <w:tab w:val="left" w:pos="0" w:leader="none"/>
        </w:tabs>
        <w:jc w:val="both"/>
        <w:rPr>
          <w:b/>
          <w:b/>
          <w:bCs/>
          <w:i w:val="false"/>
          <w:i w:val="false"/>
          <w:iCs w:val="false"/>
        </w:rPr>
      </w:pP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</w:rPr>
        <w:t>2016год: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5. приобретение оборудования, специальной техники, строительство новых производственных площадей (ООО Бетон строй) —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31,93млн.руб. Вновь созданных рабочих мест - 7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6. строительство детского кафе (ИП Усольцев ЕА) -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6млн.руб. Вновь созданных рабочих мест - 3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7. модернизация с/х производства приобретение зерноуборочного комбайна (ИП Скородумов) —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5млн.руб. Вновь созданных рабочих мест - 1</w:t>
      </w: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>.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8. реконструкция мини-пекарни (ИП Верганова ВМ) —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1млн.руб. Вновь созданных рабочих мест - 2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>9. строительство конторы и магазина в с.Ражево (ИП Шендель АВ) — .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5млн.руб. Вновь созданных рабочих мест - 2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</w:rPr>
        <w:t>ИТОГО за 2016 год - 15 человек + 40 (ООО Сибирия) =55чел.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</w:rPr>
        <w:t xml:space="preserve">2017 год (9 мес.): 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</w:rPr>
        <w:t xml:space="preserve">10. открытие салона красоты (ИП Кнакнина) —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7,53млн.руб. Вновь созданных рабочих мест — 5.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A"/>
          <w:sz w:val="24"/>
          <w:szCs w:val="24"/>
          <w:u w:val="single"/>
        </w:rPr>
        <w:t xml:space="preserve">11. строительство мини-фермы (ИП Дмитрук СЮ) - </w:t>
      </w: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  <w:u w:val="single"/>
        </w:rPr>
        <w:t>Объем инвестиций 3млн.руб. Вновь созданных рабочих мест - 6</w:t>
      </w:r>
    </w:p>
    <w:p>
      <w:pPr>
        <w:pStyle w:val="Normal"/>
        <w:tabs>
          <w:tab w:val="left" w:pos="0" w:leader="none"/>
        </w:tabs>
        <w:jc w:val="both"/>
        <w:rPr>
          <w:b/>
          <w:b/>
          <w:bCs/>
          <w:i w:val="false"/>
          <w:i w:val="false"/>
          <w:iCs w:val="false"/>
        </w:rPr>
      </w:pPr>
      <w:r>
        <w:rPr>
          <w:rFonts w:cs="Arial" w:ascii="Arial" w:hAnsi="Arial"/>
          <w:b/>
          <w:bCs/>
          <w:i w:val="false"/>
          <w:iCs w:val="false"/>
          <w:color w:val="00000A"/>
          <w:sz w:val="24"/>
          <w:szCs w:val="24"/>
        </w:rPr>
        <w:t>9 инфраструктурных площадок размещено в реестре Тюменской области</w:t>
      </w:r>
    </w:p>
    <w:p>
      <w:pPr>
        <w:sectPr>
          <w:headerReference w:type="default" r:id="rId2"/>
          <w:type w:val="nextPage"/>
          <w:pgSz w:w="11906" w:h="16838"/>
          <w:pgMar w:left="720" w:right="582" w:header="720" w:top="1272" w:footer="0" w:bottom="720" w:gutter="0"/>
          <w:pgNumType w:fmt="decimal"/>
          <w:formProt w:val="false"/>
          <w:textDirection w:val="lrTb"/>
          <w:docGrid w:type="default" w:linePitch="360" w:charSpace="4294965247"/>
        </w:sectPr>
      </w:pPr>
    </w:p>
    <w:p>
      <w:pPr>
        <w:pStyle w:val="Style19"/>
        <w:numPr>
          <w:ilvl w:val="0"/>
          <w:numId w:val="1"/>
        </w:numPr>
        <w:tabs>
          <w:tab w:val="left" w:pos="0" w:leader="none"/>
        </w:tabs>
        <w:spacing w:before="0" w:after="0"/>
        <w:ind w:left="720" w:hanging="283"/>
        <w:rPr/>
      </w:pPr>
      <w:hyperlink r:id="rId3">
        <w:r>
          <w:rPr>
            <w:rStyle w:val="Style17"/>
            <w:rFonts w:cs="" w:ascii="Arial" w:hAnsi="Arial" w:cstheme="minorBidi"/>
            <w:color w:val="000000"/>
            <w:sz w:val="24"/>
            <w:szCs w:val="24"/>
            <w:u w:val="none"/>
          </w:rPr>
          <w:t>192 км федеральной автодороги Тюмень-Омск, 150м от свертка на с. Усть-Ламенка</w:t>
        </w:r>
      </w:hyperlink>
    </w:p>
    <w:p>
      <w:pPr>
        <w:pStyle w:val="Style19"/>
        <w:numPr>
          <w:ilvl w:val="0"/>
          <w:numId w:val="2"/>
        </w:numPr>
        <w:tabs>
          <w:tab w:val="left" w:pos="0" w:leader="none"/>
        </w:tabs>
        <w:spacing w:before="0" w:after="0"/>
        <w:ind w:left="720" w:hanging="283"/>
        <w:rPr/>
      </w:pPr>
      <w:hyperlink r:id="rId4">
        <w:r>
          <w:rPr>
            <w:rStyle w:val="Style17"/>
            <w:rFonts w:cs="" w:ascii="Arial" w:hAnsi="Arial" w:cstheme="minorBidi"/>
            <w:color w:val="000000"/>
            <w:sz w:val="24"/>
            <w:szCs w:val="24"/>
            <w:u w:val="none"/>
          </w:rPr>
          <w:t>Голышмановский район д. Михайловка, северо-восточная часть</w:t>
        </w:r>
      </w:hyperlink>
    </w:p>
    <w:p>
      <w:pPr>
        <w:pStyle w:val="Style19"/>
        <w:numPr>
          <w:ilvl w:val="0"/>
          <w:numId w:val="3"/>
        </w:numPr>
        <w:tabs>
          <w:tab w:val="left" w:pos="0" w:leader="none"/>
        </w:tabs>
        <w:spacing w:before="0" w:after="0"/>
        <w:ind w:left="720" w:hanging="283"/>
        <w:rPr/>
      </w:pPr>
      <w:hyperlink r:id="rId5">
        <w:r>
          <w:rPr>
            <w:rStyle w:val="Style17"/>
            <w:rFonts w:cs="" w:ascii="Arial" w:hAnsi="Arial" w:cstheme="minorBidi"/>
            <w:color w:val="000000"/>
            <w:sz w:val="24"/>
            <w:szCs w:val="24"/>
            <w:u w:val="none"/>
          </w:rPr>
          <w:t>Тюменская область, Голышмановский район, 30 км. Трассы Голышманово-Аромашево в границах населенного пункта с. Малышенка</w:t>
        </w:r>
      </w:hyperlink>
    </w:p>
    <w:p>
      <w:pPr>
        <w:pStyle w:val="Style19"/>
        <w:numPr>
          <w:ilvl w:val="0"/>
          <w:numId w:val="4"/>
        </w:numPr>
        <w:tabs>
          <w:tab w:val="left" w:pos="0" w:leader="none"/>
        </w:tabs>
        <w:spacing w:before="0" w:after="0"/>
        <w:ind w:left="720" w:hanging="283"/>
        <w:rPr/>
      </w:pPr>
      <w:hyperlink r:id="rId6">
        <w:r>
          <w:rPr>
            <w:rStyle w:val="Style17"/>
            <w:rFonts w:cs="" w:ascii="Arial" w:hAnsi="Arial" w:cstheme="minorBidi"/>
            <w:color w:val="000000"/>
            <w:sz w:val="24"/>
            <w:szCs w:val="24"/>
            <w:u w:val="none"/>
          </w:rPr>
          <w:t>Тюменская область, Голышмановский район с. Малышенка, в северо-западной части населенного пункта</w:t>
        </w:r>
      </w:hyperlink>
    </w:p>
    <w:p>
      <w:pPr>
        <w:pStyle w:val="Style19"/>
        <w:numPr>
          <w:ilvl w:val="0"/>
          <w:numId w:val="5"/>
        </w:numPr>
        <w:tabs>
          <w:tab w:val="left" w:pos="0" w:leader="none"/>
        </w:tabs>
        <w:spacing w:before="0" w:after="0"/>
        <w:ind w:left="720" w:hanging="283"/>
        <w:rPr/>
      </w:pPr>
      <w:hyperlink r:id="rId7">
        <w:r>
          <w:rPr>
            <w:rStyle w:val="Style17"/>
            <w:rFonts w:cs="" w:ascii="Arial" w:hAnsi="Arial" w:cstheme="minorBidi"/>
            <w:color w:val="000000"/>
            <w:sz w:val="24"/>
            <w:szCs w:val="24"/>
            <w:u w:val="none"/>
          </w:rPr>
          <w:t>Тюменская область, Голышмановский район, р.п. Голышманово, Восточная часть поселка</w:t>
        </w:r>
      </w:hyperlink>
    </w:p>
    <w:p>
      <w:pPr>
        <w:pStyle w:val="Style19"/>
        <w:numPr>
          <w:ilvl w:val="0"/>
          <w:numId w:val="6"/>
        </w:numPr>
        <w:tabs>
          <w:tab w:val="left" w:pos="0" w:leader="none"/>
        </w:tabs>
        <w:spacing w:before="0" w:after="0"/>
        <w:ind w:left="720" w:hanging="283"/>
        <w:rPr/>
      </w:pPr>
      <w:hyperlink r:id="rId8">
        <w:r>
          <w:rPr>
            <w:rStyle w:val="Style17"/>
            <w:rFonts w:cs="" w:ascii="Arial" w:hAnsi="Arial" w:cstheme="minorBidi"/>
            <w:color w:val="000000"/>
            <w:sz w:val="24"/>
            <w:szCs w:val="24"/>
            <w:u w:val="none"/>
          </w:rPr>
          <w:t>Тюменская область, Голышмановский район, р.п.Голышманово ул. Московская, 1Б</w:t>
        </w:r>
      </w:hyperlink>
    </w:p>
    <w:p>
      <w:pPr>
        <w:pStyle w:val="Style19"/>
        <w:numPr>
          <w:ilvl w:val="0"/>
          <w:numId w:val="7"/>
        </w:numPr>
        <w:tabs>
          <w:tab w:val="left" w:pos="0" w:leader="none"/>
        </w:tabs>
        <w:spacing w:before="0" w:after="0"/>
        <w:ind w:left="720" w:hanging="283"/>
        <w:rPr/>
      </w:pPr>
      <w:hyperlink r:id="rId9">
        <w:r>
          <w:rPr>
            <w:rStyle w:val="Style17"/>
            <w:rFonts w:cs="" w:ascii="Arial" w:hAnsi="Arial" w:cstheme="minorBidi"/>
            <w:color w:val="000000"/>
            <w:sz w:val="24"/>
            <w:szCs w:val="24"/>
            <w:u w:val="none"/>
          </w:rPr>
          <w:t>Тюменская область, Голышмановский район западная часть поселка</w:t>
        </w:r>
      </w:hyperlink>
    </w:p>
    <w:p>
      <w:pPr>
        <w:pStyle w:val="Style19"/>
        <w:numPr>
          <w:ilvl w:val="0"/>
          <w:numId w:val="8"/>
        </w:numPr>
        <w:tabs>
          <w:tab w:val="left" w:pos="0" w:leader="none"/>
        </w:tabs>
        <w:spacing w:before="0" w:after="0"/>
        <w:ind w:left="720" w:hanging="283"/>
        <w:rPr/>
      </w:pPr>
      <w:hyperlink r:id="rId10">
        <w:r>
          <w:rPr>
            <w:rStyle w:val="Style17"/>
            <w:rFonts w:cs="" w:ascii="Arial" w:hAnsi="Arial" w:cstheme="minorBidi"/>
            <w:color w:val="000000"/>
            <w:sz w:val="24"/>
            <w:szCs w:val="24"/>
            <w:u w:val="none"/>
          </w:rPr>
          <w:t xml:space="preserve">Тюменская область, Голышмановский район, в 2,5 км севернее р.п. Голышманово, левее автодороги Голышманово-Аромашево </w:t>
        </w:r>
      </w:hyperlink>
    </w:p>
    <w:p>
      <w:pPr>
        <w:pStyle w:val="Style19"/>
        <w:numPr>
          <w:ilvl w:val="0"/>
          <w:numId w:val="9"/>
        </w:numPr>
        <w:tabs>
          <w:tab w:val="left" w:pos="0" w:leader="none"/>
        </w:tabs>
        <w:ind w:left="720" w:hanging="283"/>
        <w:rPr/>
      </w:pPr>
      <w:hyperlink r:id="rId11">
        <w:r>
          <w:rPr>
            <w:rStyle w:val="Style17"/>
            <w:rFonts w:cs="" w:ascii="Arial" w:hAnsi="Arial" w:cstheme="minorBidi"/>
            <w:color w:val="000000"/>
            <w:sz w:val="24"/>
            <w:szCs w:val="24"/>
            <w:u w:val="none"/>
          </w:rPr>
          <w:t>Тюменская область, Голышмановский район, Голышмановское сельское поселение, на расстоянии 5 км к северу от р.п. Голышманово</w:t>
        </w:r>
      </w:hyperlink>
    </w:p>
    <w:p>
      <w:pPr>
        <w:sectPr>
          <w:type w:val="continuous"/>
          <w:pgSz w:w="11906" w:h="16838"/>
          <w:pgMar w:left="720" w:right="582" w:header="720" w:top="1272" w:footer="0" w:bottom="720" w:gutter="0"/>
          <w:formProt w:val="false"/>
          <w:textDirection w:val="lrTb"/>
          <w:docGrid w:type="default" w:linePitch="360" w:charSpace="4294965247"/>
        </w:sectPr>
      </w:pPr>
    </w:p>
    <w:tbl>
      <w:tblPr>
        <w:tblStyle w:val="a3"/>
        <w:tblW w:w="1060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45"/>
        <w:gridCol w:w="4166"/>
        <w:gridCol w:w="5789"/>
      </w:tblGrid>
      <w:tr>
        <w:trPr/>
        <w:tc>
          <w:tcPr>
            <w:tcW w:w="64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</w:r>
          </w:p>
        </w:tc>
        <w:tc>
          <w:tcPr>
            <w:tcW w:w="9955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/>
                <w:sz w:val="24"/>
                <w:szCs w:val="24"/>
              </w:rPr>
              <w:t xml:space="preserve">Планируемые (предложенные) проекты совместно с фондом инвестиционного  агентства Тюменской области </w:t>
            </w:r>
          </w:p>
        </w:tc>
      </w:tr>
      <w:tr>
        <w:trPr/>
        <w:tc>
          <w:tcPr>
            <w:tcW w:w="64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1.</w:t>
            </w:r>
          </w:p>
        </w:tc>
        <w:tc>
          <w:tcPr>
            <w:tcW w:w="416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Строительство молочно–товарной фермы на 600 голов </w:t>
            </w:r>
          </w:p>
          <w:p>
            <w:pPr>
              <w:pStyle w:val="Normal"/>
              <w:spacing w:lineRule="auto" w:line="24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2"/>
                <w:szCs w:val="22"/>
              </w:rPr>
              <w:t>в д.Михайловка Малышенского с/п Голышмановского района.</w:t>
            </w:r>
          </w:p>
        </w:tc>
        <w:tc>
          <w:tcPr>
            <w:tcW w:w="57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2"/>
                <w:szCs w:val="22"/>
              </w:rPr>
              <w:t>Разработана проектно-сметная документация,  ведется поиск потенциальных инвесторов.</w:t>
            </w:r>
          </w:p>
        </w:tc>
      </w:tr>
      <w:tr>
        <w:trPr/>
        <w:tc>
          <w:tcPr>
            <w:tcW w:w="64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2.</w:t>
            </w:r>
          </w:p>
        </w:tc>
        <w:tc>
          <w:tcPr>
            <w:tcW w:w="416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2"/>
                <w:szCs w:val="22"/>
              </w:rPr>
              <w:t>Строительство убойного цеха и переработка мяса</w:t>
              <w:br/>
              <w:t>р.п.Голышманово западная часть поселка</w:t>
            </w:r>
          </w:p>
        </w:tc>
        <w:tc>
          <w:tcPr>
            <w:tcW w:w="57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Ведется поиск потенциальных инвесторов. Ведутся переговоры с условными инвесторами.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2"/>
                <w:szCs w:val="22"/>
              </w:rPr>
              <w:t>Рассматривается вопрос по земельному участку под размещение поголовья КРС (около 55 голов). После приобретения скота будет планировать  строительство убойного цеха. До потенциального инвестора доведена информация о поддержке через департамент АПК (</w:t>
            </w:r>
            <w:r>
              <w:rPr>
                <w:rFonts w:eastAsia="Times New Roman" w:cs="Arial" w:ascii="Arial" w:hAnsi="Arial"/>
                <w:i/>
                <w:iCs/>
                <w:color w:val="000000"/>
                <w:sz w:val="22"/>
                <w:szCs w:val="22"/>
                <w:lang w:eastAsia="ru-RU"/>
              </w:rPr>
              <w:t>постановление Правительства Тюменской области от 30.12.2015 № 638-п)</w:t>
            </w:r>
          </w:p>
        </w:tc>
      </w:tr>
      <w:tr>
        <w:trPr/>
        <w:tc>
          <w:tcPr>
            <w:tcW w:w="64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3.</w:t>
            </w:r>
          </w:p>
        </w:tc>
        <w:tc>
          <w:tcPr>
            <w:tcW w:w="416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2"/>
                <w:szCs w:val="22"/>
              </w:rPr>
              <w:t>Производство древесного угля</w:t>
            </w:r>
          </w:p>
        </w:tc>
        <w:tc>
          <w:tcPr>
            <w:tcW w:w="57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2"/>
                <w:szCs w:val="22"/>
              </w:rPr>
              <w:t>Ведется поиск потенциальных инвесторов.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</w:rPr>
              <w:t>Сформирован список потенциальных инвесторов и организации по производству древесного угля и крупных деревообрабатывающий компаний по уральскому федеральному округу.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</w:tr>
      <w:tr>
        <w:trPr/>
        <w:tc>
          <w:tcPr>
            <w:tcW w:w="64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 w:ascii="Arial" w:hAnsi="Arial"/>
                <w:sz w:val="24"/>
                <w:szCs w:val="24"/>
              </w:rPr>
              <w:t>4.</w:t>
            </w:r>
          </w:p>
        </w:tc>
        <w:tc>
          <w:tcPr>
            <w:tcW w:w="416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2"/>
                <w:szCs w:val="22"/>
              </w:rPr>
              <w:t>Добыча и производство сапропеля</w:t>
            </w:r>
          </w:p>
        </w:tc>
        <w:tc>
          <w:tcPr>
            <w:tcW w:w="57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2"/>
                <w:szCs w:val="22"/>
              </w:rPr>
              <w:t>Ведутся переговоры с потенциальным инвестором: АО «Евроцемент групп» Христианов Панаётис Аристотелевич.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</w:rPr>
              <w:t>Инвестору рассказано и мерах поддержки инвестиционной деятельности в Тюменской области, направлены заключение о месторождений сапропеля. Поддерживается связь с инвестором</w:t>
            </w:r>
          </w:p>
        </w:tc>
      </w:tr>
      <w:tr>
        <w:trPr/>
        <w:tc>
          <w:tcPr>
            <w:tcW w:w="64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5.</w:t>
            </w:r>
          </w:p>
        </w:tc>
        <w:tc>
          <w:tcPr>
            <w:tcW w:w="4166" w:type="dxa"/>
            <w:tcBorders/>
            <w:shd w:fill="auto" w:val="clear"/>
          </w:tcPr>
          <w:p>
            <w:pPr>
              <w:pStyle w:val="Normal"/>
              <w:bidi w:val="0"/>
              <w:spacing w:lineRule="auto" w:line="276" w:before="0" w:after="0"/>
              <w:jc w:val="left"/>
              <w:rPr/>
            </w:pPr>
            <w:r>
              <w:rPr>
                <w:rStyle w:val="Pragmatica"/>
                <w:rFonts w:eastAsia="Calibri" w:cs="Arial" w:ascii="Arial" w:hAnsi="Arial"/>
                <w:b w:val="false"/>
                <w:bCs w:val="false"/>
                <w:color w:val="00000A"/>
                <w:spacing w:val="-2"/>
                <w:sz w:val="22"/>
                <w:szCs w:val="22"/>
                <w:lang w:eastAsia="en-US"/>
              </w:rPr>
              <w:t>Развитие овцеводства д.Черемшанка</w:t>
            </w:r>
          </w:p>
        </w:tc>
        <w:tc>
          <w:tcPr>
            <w:tcW w:w="57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Ведется поиск потенциальных инвесторов.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</w:tr>
      <w:tr>
        <w:trPr/>
        <w:tc>
          <w:tcPr>
            <w:tcW w:w="64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6.</w:t>
            </w:r>
          </w:p>
        </w:tc>
        <w:tc>
          <w:tcPr>
            <w:tcW w:w="4166" w:type="dxa"/>
            <w:tcBorders/>
            <w:shd w:fill="auto" w:val="clear"/>
          </w:tcPr>
          <w:p>
            <w:pPr>
              <w:pStyle w:val="Style25"/>
              <w:shd w:val="clear" w:color="auto" w:fill="auto"/>
              <w:tabs>
                <w:tab w:val="left" w:pos="720" w:leader="none"/>
              </w:tabs>
              <w:bidi w:val="0"/>
              <w:spacing w:lineRule="auto" w:line="276" w:before="0" w:after="0"/>
              <w:ind w:right="20" w:hanging="0"/>
              <w:jc w:val="both"/>
              <w:rPr/>
            </w:pPr>
            <w:r>
              <w:rPr>
                <w:rStyle w:val="Pragmatica"/>
                <w:rFonts w:eastAsia="Calibri" w:cs="Arial" w:ascii="Arial" w:hAnsi="Arial"/>
                <w:b w:val="false"/>
                <w:bCs w:val="false"/>
                <w:color w:val="00000A"/>
                <w:spacing w:val="-2"/>
                <w:sz w:val="22"/>
                <w:szCs w:val="22"/>
                <w:u w:val="none"/>
                <w:lang w:eastAsia="en-US"/>
              </w:rPr>
              <w:t>Производство силикатных изделий (кирпич, строительные блоки): Гладиловское, Малышенское, Ламенское поселения.</w:t>
            </w:r>
          </w:p>
        </w:tc>
        <w:tc>
          <w:tcPr>
            <w:tcW w:w="57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Ведется поиск потенциальных инвесторов.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</w:tr>
    </w:tbl>
    <w:p>
      <w:pPr>
        <w:pStyle w:val="Normal"/>
        <w:bidi w:val="0"/>
        <w:spacing w:lineRule="auto" w:line="276" w:before="0" w:after="0"/>
        <w:jc w:val="center"/>
        <w:rPr>
          <w:rStyle w:val="Pragmatica"/>
        </w:rPr>
      </w:pPr>
      <w:r>
        <w:rPr>
          <w:rFonts w:eastAsia="Calibri" w:ascii="Arial" w:hAnsi="Arial"/>
          <w:b/>
          <w:bCs/>
          <w:color w:val="00000A"/>
          <w:sz w:val="24"/>
          <w:szCs w:val="24"/>
          <w:lang w:eastAsia="en-US"/>
        </w:rPr>
      </w:r>
    </w:p>
    <w:p>
      <w:pPr>
        <w:pStyle w:val="Normal"/>
        <w:bidi w:val="0"/>
        <w:spacing w:lineRule="auto" w:line="276" w:before="0" w:after="0"/>
        <w:jc w:val="center"/>
        <w:rPr>
          <w:rStyle w:val="Pragmatica"/>
        </w:rPr>
      </w:pPr>
      <w:r>
        <w:rPr>
          <w:rFonts w:eastAsia="Calibri" w:ascii="Arial" w:hAnsi="Arial"/>
          <w:b/>
          <w:bCs/>
          <w:color w:val="00000A"/>
          <w:sz w:val="24"/>
          <w:szCs w:val="24"/>
          <w:lang w:eastAsia="en-US"/>
        </w:rPr>
      </w:r>
    </w:p>
    <w:p>
      <w:pPr>
        <w:pStyle w:val="Normal"/>
        <w:bidi w:val="0"/>
        <w:spacing w:lineRule="auto" w:line="276" w:before="0" w:after="0"/>
        <w:jc w:val="center"/>
        <w:rPr/>
      </w:pPr>
      <w:r>
        <w:rPr>
          <w:rStyle w:val="Pragmatica"/>
          <w:rFonts w:eastAsia="Calibri" w:ascii="Arial" w:hAnsi="Arial"/>
          <w:b/>
          <w:bCs/>
          <w:color w:val="00000A"/>
          <w:sz w:val="24"/>
          <w:szCs w:val="24"/>
          <w:lang w:eastAsia="en-US"/>
        </w:rPr>
        <w:t>Планируемые проекты для дальнейшего включения в реестр.</w:t>
      </w:r>
    </w:p>
    <w:tbl>
      <w:tblPr>
        <w:tblW w:w="10488" w:type="dxa"/>
        <w:jc w:val="left"/>
        <w:tblInd w:w="1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6" w:type="dxa"/>
          <w:bottom w:w="55" w:type="dxa"/>
          <w:right w:w="55" w:type="dxa"/>
        </w:tblCellMar>
      </w:tblPr>
      <w:tblGrid>
        <w:gridCol w:w="569"/>
        <w:gridCol w:w="5844"/>
        <w:gridCol w:w="4075"/>
      </w:tblGrid>
      <w:tr>
        <w:trPr/>
        <w:tc>
          <w:tcPr>
            <w:tcW w:w="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ListParagraph"/>
              <w:ind w:left="0" w:right="0" w:hanging="0"/>
              <w:jc w:val="both"/>
              <w:rPr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ListParagraph"/>
              <w:ind w:left="0" w:right="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color w:val="00000A"/>
                <w:sz w:val="22"/>
                <w:szCs w:val="22"/>
              </w:rPr>
              <w:t xml:space="preserve">Инвестиционный проект — выращивание грибов </w:t>
            </w:r>
            <w:r>
              <w:rPr>
                <w:rFonts w:eastAsia="Calibri" w:cs="Arial"/>
                <w:b w:val="false"/>
                <w:bCs w:val="false"/>
                <w:color w:val="000000"/>
                <w:spacing w:val="-4"/>
                <w:sz w:val="22"/>
                <w:szCs w:val="22"/>
                <w:lang w:val="ru-RU" w:eastAsia="en-US"/>
              </w:rPr>
              <w:t>производительностью 7400тонн грибов в год</w:t>
            </w:r>
            <w:r>
              <w:rPr>
                <w:rFonts w:cs="Arial"/>
                <w:color w:val="00000A"/>
                <w:sz w:val="22"/>
                <w:szCs w:val="22"/>
              </w:rPr>
              <w:t xml:space="preserve">. </w:t>
            </w:r>
          </w:p>
          <w:p>
            <w:pPr>
              <w:pStyle w:val="ListParagraph"/>
              <w:ind w:left="0" w:right="0" w:hanging="0"/>
              <w:jc w:val="both"/>
              <w:rPr>
                <w:rFonts w:ascii="Arial" w:hAnsi="Arial" w:cs="Arial"/>
                <w:color w:val="00000A"/>
                <w:sz w:val="20"/>
                <w:szCs w:val="20"/>
              </w:rPr>
            </w:pPr>
            <w:r>
              <w:rPr>
                <w:rFonts w:cs="Arial"/>
                <w:color w:val="00000A"/>
                <w:sz w:val="22"/>
                <w:szCs w:val="22"/>
              </w:rPr>
              <w:t>Инвестор — ООО Тюменский центр биотехнологий.</w:t>
            </w:r>
          </w:p>
        </w:tc>
        <w:tc>
          <w:tcPr>
            <w:tcW w:w="40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ListParagraph"/>
              <w:ind w:left="0" w:right="0" w:hanging="0"/>
              <w:jc w:val="both"/>
              <w:rPr/>
            </w:pPr>
            <w:r>
              <w:rPr>
                <w:rFonts w:cs="Arial"/>
                <w:color w:val="00000A"/>
                <w:sz w:val="22"/>
                <w:szCs w:val="22"/>
              </w:rPr>
              <w:t xml:space="preserve">На сегодня инвестор определяется с технологией инвестиционного проекта. </w:t>
            </w:r>
          </w:p>
          <w:p>
            <w:pPr>
              <w:pStyle w:val="ListParagraph"/>
              <w:ind w:left="0" w:right="0" w:hanging="0"/>
              <w:jc w:val="both"/>
              <w:rPr/>
            </w:pPr>
            <w:r>
              <w:rPr>
                <w:rFonts w:cs="Arial"/>
                <w:color w:val="00000A"/>
                <w:sz w:val="22"/>
                <w:szCs w:val="22"/>
              </w:rPr>
              <w:t>Оформляется земельный участок.</w:t>
            </w:r>
          </w:p>
        </w:tc>
      </w:tr>
      <w:tr>
        <w:trPr/>
        <w:tc>
          <w:tcPr>
            <w:tcW w:w="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ListParagraph"/>
              <w:ind w:left="0" w:right="0" w:hanging="0"/>
              <w:jc w:val="both"/>
              <w:rPr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8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ListParagraph"/>
              <w:ind w:left="0" w:right="0" w:hanging="0"/>
              <w:jc w:val="both"/>
              <w:rPr/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>Модернизация лесоперерабатывающего завода РАШФОР</w:t>
            </w:r>
            <w:r>
              <w:rPr>
                <w:rFonts w:cs="Arial"/>
                <w:b w:val="false"/>
                <w:bCs w:val="false"/>
                <w:color w:val="00000A"/>
                <w:sz w:val="20"/>
                <w:szCs w:val="20"/>
              </w:rPr>
              <w:t>.</w:t>
            </w:r>
          </w:p>
        </w:tc>
        <w:tc>
          <w:tcPr>
            <w:tcW w:w="40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ListParagraph"/>
              <w:ind w:left="0" w:right="0" w:hanging="0"/>
              <w:jc w:val="both"/>
              <w:rPr/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>Установка нового оборудования, 2 пилорамы. Дополнительно 20 рабочих мест.</w:t>
            </w:r>
          </w:p>
        </w:tc>
      </w:tr>
      <w:tr>
        <w:trPr/>
        <w:tc>
          <w:tcPr>
            <w:tcW w:w="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before="0" w:after="200"/>
              <w:ind w:right="0" w:hanging="0"/>
              <w:jc w:val="left"/>
              <w:rPr/>
            </w:pPr>
            <w:r>
              <w:rPr>
                <w:rFonts w:ascii="Arial" w:hAnsi="Arial"/>
                <w:sz w:val="22"/>
                <w:szCs w:val="22"/>
              </w:rPr>
              <w:t>3</w:t>
            </w:r>
          </w:p>
        </w:tc>
        <w:tc>
          <w:tcPr>
            <w:tcW w:w="58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before="0" w:after="200"/>
              <w:ind w:right="0" w:hanging="0"/>
              <w:jc w:val="left"/>
              <w:rPr/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color w:val="00000A"/>
                <w:sz w:val="22"/>
                <w:szCs w:val="22"/>
              </w:rPr>
              <w:t>Строительство придорожного комплекса (АЗС)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200"/>
              <w:ind w:right="0" w:hanging="0"/>
              <w:jc w:val="left"/>
              <w:rPr/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>400 м от кольца</w:t>
            </w:r>
          </w:p>
        </w:tc>
        <w:tc>
          <w:tcPr>
            <w:tcW w:w="40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ListParagraph"/>
              <w:ind w:left="0" w:right="0" w:hanging="0"/>
              <w:jc w:val="both"/>
              <w:rPr/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>АНПЗ (Лисовиченко</w:t>
            </w:r>
            <w:r>
              <w:rPr>
                <w:rFonts w:cs="Arial"/>
                <w:b w:val="false"/>
                <w:bCs w:val="false"/>
                <w:color w:val="00000A"/>
                <w:sz w:val="24"/>
                <w:szCs w:val="24"/>
              </w:rPr>
              <w:t>)</w:t>
            </w:r>
          </w:p>
        </w:tc>
      </w:tr>
      <w:tr>
        <w:trPr/>
        <w:tc>
          <w:tcPr>
            <w:tcW w:w="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left="21" w:right="0" w:hanging="0"/>
              <w:jc w:val="both"/>
              <w:rPr/>
            </w:pPr>
            <w:r>
              <w:rPr>
                <w:rFonts w:ascii="Arial" w:hAnsi="Arial"/>
                <w:sz w:val="22"/>
                <w:szCs w:val="22"/>
              </w:rPr>
              <w:t>4</w:t>
            </w:r>
          </w:p>
        </w:tc>
        <w:tc>
          <w:tcPr>
            <w:tcW w:w="58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left="21" w:right="0" w:hanging="0"/>
              <w:jc w:val="both"/>
              <w:rPr/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Выращивание карпа, белого амура, толстолобика, </w:t>
            </w:r>
            <w:r>
              <w:rPr>
                <w:rFonts w:ascii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>запуск цеха по выращиванию стерляди.</w:t>
            </w:r>
          </w:p>
        </w:tc>
        <w:tc>
          <w:tcPr>
            <w:tcW w:w="40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spacing w:lineRule="auto" w:line="276" w:before="0" w:after="200"/>
              <w:ind w:left="0" w:right="0" w:hanging="0"/>
              <w:jc w:val="both"/>
              <w:rPr/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color w:val="00000A"/>
                <w:sz w:val="22"/>
                <w:szCs w:val="22"/>
              </w:rPr>
              <w:t>«Верхнетазовская рыбодобывающая компания».</w:t>
            </w: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color w:val="00000A"/>
                <w:sz w:val="24"/>
                <w:szCs w:val="24"/>
              </w:rPr>
              <w:t xml:space="preserve"> Камышин В.А.</w:t>
            </w:r>
          </w:p>
        </w:tc>
      </w:tr>
      <w:tr>
        <w:trPr/>
        <w:tc>
          <w:tcPr>
            <w:tcW w:w="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left="21" w:right="0" w:hanging="0"/>
              <w:jc w:val="both"/>
              <w:rPr/>
            </w:pPr>
            <w:r>
              <w:rPr>
                <w:rFonts w:ascii="Arial" w:hAnsi="Arial"/>
                <w:sz w:val="22"/>
                <w:szCs w:val="22"/>
              </w:rPr>
              <w:t>5</w:t>
            </w:r>
          </w:p>
        </w:tc>
        <w:tc>
          <w:tcPr>
            <w:tcW w:w="58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2"/>
                <w:szCs w:val="22"/>
                <w:lang w:val="ru-RU"/>
              </w:rPr>
              <w:t>Строительство б</w:t>
            </w: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ассейна р.п.Голышманово ул.Садовая, 100 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>разрешение на строительство от 27.04.2016 №72-507-023-2016 (до 31.12.2018)</w:t>
            </w:r>
          </w:p>
        </w:tc>
        <w:tc>
          <w:tcPr>
            <w:tcW w:w="40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spacing w:lineRule="auto" w:line="276" w:before="0" w:after="200"/>
              <w:ind w:left="0" w:right="0" w:hanging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color w:val="00000A"/>
                <w:sz w:val="22"/>
                <w:szCs w:val="22"/>
              </w:rPr>
              <w:t>ООО «СоюзИнвест»</w:t>
            </w:r>
          </w:p>
          <w:p>
            <w:pPr>
              <w:pStyle w:val="Normal"/>
              <w:spacing w:lineRule="auto" w:line="276" w:before="0" w:after="200"/>
              <w:ind w:left="0" w:right="0" w:hanging="0"/>
              <w:jc w:val="both"/>
              <w:rPr/>
            </w:pPr>
            <w:r>
              <w:rPr>
                <w:rFonts w:cs="Arial" w:ascii="Arial" w:hAnsi="Arial"/>
                <w:b w:val="false"/>
                <w:bCs w:val="false"/>
                <w:color w:val="00000A"/>
                <w:sz w:val="22"/>
                <w:szCs w:val="22"/>
              </w:rPr>
              <w:t>площадь 1287,27м2</w:t>
            </w:r>
          </w:p>
        </w:tc>
      </w:tr>
      <w:tr>
        <w:trPr/>
        <w:tc>
          <w:tcPr>
            <w:tcW w:w="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left"/>
              <w:rPr/>
            </w:pPr>
            <w:r>
              <w:rPr>
                <w:rFonts w:ascii="Arial" w:hAnsi="Arial"/>
                <w:sz w:val="22"/>
                <w:szCs w:val="22"/>
              </w:rPr>
              <w:t>6</w:t>
            </w:r>
          </w:p>
        </w:tc>
        <w:tc>
          <w:tcPr>
            <w:tcW w:w="58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Style27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both"/>
              <w:rPr/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>Строительство объектов придорожного сервиса.</w:t>
            </w:r>
          </w:p>
          <w:p>
            <w:pPr>
              <w:pStyle w:val="Style27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both"/>
              <w:rPr/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>(Вопросы по финансированию проекта).</w:t>
            </w:r>
          </w:p>
        </w:tc>
        <w:tc>
          <w:tcPr>
            <w:tcW w:w="40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Style27"/>
              <w:spacing w:lineRule="auto" w:line="276"/>
              <w:ind w:left="0" w:right="0" w:hanging="0"/>
              <w:jc w:val="both"/>
              <w:rPr/>
            </w:pPr>
            <w:r>
              <w:rPr>
                <w:rFonts w:cs="Arial" w:ascii="Arial" w:hAnsi="Arial"/>
                <w:b w:val="false"/>
                <w:bCs w:val="false"/>
                <w:color w:val="00000A"/>
                <w:sz w:val="22"/>
                <w:szCs w:val="22"/>
              </w:rPr>
              <w:t>с.Малышенка (</w:t>
            </w:r>
            <w:r>
              <w:rPr>
                <w:rFonts w:eastAsia="Calibri" w:cs="Arial" w:ascii="Arial" w:hAnsi="Arial"/>
                <w:b w:val="false"/>
                <w:bCs w:val="false"/>
                <w:color w:val="000000"/>
                <w:spacing w:val="-4"/>
                <w:sz w:val="22"/>
                <w:szCs w:val="22"/>
                <w:lang w:val="ru-RU" w:eastAsia="en-US"/>
              </w:rPr>
              <w:t>ООО Тюменьнефтестрой»)</w:t>
            </w:r>
          </w:p>
        </w:tc>
      </w:tr>
      <w:tr>
        <w:trPr/>
        <w:tc>
          <w:tcPr>
            <w:tcW w:w="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both"/>
              <w:rPr>
                <w:highlight w:val="yellow"/>
              </w:rPr>
            </w:pPr>
            <w:r>
              <w:rPr>
                <w:rFonts w:eastAsia="Calibri" w:cs="" w:cstheme="minorBidi" w:eastAsiaTheme="minorHAnsi"/>
                <w:sz w:val="22"/>
                <w:szCs w:val="22"/>
              </w:rPr>
              <w:t>7</w:t>
            </w:r>
          </w:p>
        </w:tc>
        <w:tc>
          <w:tcPr>
            <w:tcW w:w="58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both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>Строительство СТО р.п.Голышманово ул.Гагарина 50К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left"/>
              <w:rPr>
                <w:highlight w:val="yellow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>разрешение на строительство от 27.09.2016 №72-507-066-2016 (до 01.07.2019)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left" w:pos="0" w:leader="none"/>
              </w:tabs>
              <w:bidi w:val="0"/>
              <w:spacing w:lineRule="auto" w:line="276" w:before="0" w:after="200"/>
              <w:ind w:right="0" w:hanging="0"/>
              <w:jc w:val="both"/>
              <w:rPr>
                <w:highlight w:val="yellow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00000A"/>
                <w:sz w:val="24"/>
                <w:szCs w:val="24"/>
                <w:u w:val="single"/>
              </w:rPr>
              <w:t>Объем инвестиций 7млн.руб. Планируемое количество рабочих мест - 4</w:t>
            </w:r>
          </w:p>
        </w:tc>
        <w:tc>
          <w:tcPr>
            <w:tcW w:w="40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ListParagraph"/>
              <w:ind w:left="0" w:right="0" w:hanging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A"/>
                <w:sz w:val="24"/>
                <w:szCs w:val="24"/>
              </w:rPr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>ИП Круг ОН тел.89224870919</w:t>
            </w:r>
          </w:p>
          <w:p>
            <w:pPr>
              <w:pStyle w:val="ListParagraph"/>
              <w:ind w:left="0" w:right="0" w:hanging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A"/>
                <w:sz w:val="22"/>
                <w:szCs w:val="22"/>
              </w:rPr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</w:r>
          </w:p>
          <w:p>
            <w:pPr>
              <w:pStyle w:val="ListParagraph"/>
              <w:ind w:left="0" w:right="0" w:hanging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A"/>
                <w:sz w:val="24"/>
                <w:szCs w:val="24"/>
              </w:rPr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 xml:space="preserve">начало октябрь 2016 </w:t>
            </w:r>
          </w:p>
          <w:p>
            <w:pPr>
              <w:pStyle w:val="ListParagraph"/>
              <w:ind w:left="0" w:right="0" w:hanging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A"/>
                <w:sz w:val="24"/>
                <w:szCs w:val="24"/>
              </w:rPr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>плановый ввод июнь-июль 2019</w:t>
            </w:r>
          </w:p>
          <w:p>
            <w:pPr>
              <w:pStyle w:val="ListParagraph"/>
              <w:ind w:left="0" w:right="0" w:hanging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A"/>
                <w:sz w:val="22"/>
                <w:szCs w:val="22"/>
              </w:rPr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</w:r>
          </w:p>
          <w:p>
            <w:pPr>
              <w:pStyle w:val="ListParagraph"/>
              <w:ind w:left="0" w:right="0" w:hanging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A"/>
                <w:sz w:val="24"/>
                <w:szCs w:val="24"/>
              </w:rPr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>площадь здания 662,86м2</w:t>
            </w:r>
          </w:p>
          <w:p>
            <w:pPr>
              <w:pStyle w:val="ListParagraph"/>
              <w:ind w:left="0" w:right="0" w:hanging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A"/>
                <w:sz w:val="22"/>
                <w:szCs w:val="22"/>
              </w:rPr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both"/>
              <w:rPr>
                <w:highlight w:val="yellow"/>
              </w:rPr>
            </w:pPr>
            <w:r>
              <w:rPr>
                <w:rFonts w:eastAsia="Calibri" w:cs="" w:cstheme="minorBidi" w:eastAsiaTheme="minorHAnsi"/>
                <w:sz w:val="22"/>
                <w:szCs w:val="22"/>
              </w:rPr>
              <w:t>8</w:t>
            </w:r>
          </w:p>
        </w:tc>
        <w:tc>
          <w:tcPr>
            <w:tcW w:w="58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both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>Строительство торгового центра, р.п.Голышманово ул.Вокзальная, 60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left"/>
              <w:rPr>
                <w:highlight w:val="yellow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>разрешение на строительство от 24.07.2017 №72-507-37-2017 (до 23.07.2018)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left" w:pos="0" w:leader="none"/>
              </w:tabs>
              <w:bidi w:val="0"/>
              <w:spacing w:lineRule="auto" w:line="276" w:before="0" w:after="200"/>
              <w:ind w:right="0" w:hanging="0"/>
              <w:jc w:val="both"/>
              <w:rPr>
                <w:highlight w:val="yellow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00000A"/>
                <w:sz w:val="24"/>
                <w:szCs w:val="24"/>
                <w:u w:val="single"/>
              </w:rPr>
              <w:t>Объем инвестиций 15млн.руб. Планируемое количество рабочих мест - 10</w:t>
            </w:r>
          </w:p>
        </w:tc>
        <w:tc>
          <w:tcPr>
            <w:tcW w:w="40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ListParagraph"/>
              <w:ind w:left="0" w:right="0" w:hanging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A"/>
                <w:sz w:val="24"/>
                <w:szCs w:val="24"/>
              </w:rPr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>ООО Новый формат, г. Ялуторовск ул.Русакова, 10 стр. 1/2 тел. 8(34535) 24832, 24834 Усольцев Александр Николаевич 89088744509</w:t>
            </w:r>
          </w:p>
          <w:p>
            <w:pPr>
              <w:pStyle w:val="ListParagraph"/>
              <w:ind w:left="0" w:right="0" w:hanging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A"/>
                <w:sz w:val="22"/>
                <w:szCs w:val="22"/>
              </w:rPr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</w:r>
          </w:p>
          <w:p>
            <w:pPr>
              <w:pStyle w:val="ListParagraph"/>
              <w:ind w:left="0" w:right="0" w:hanging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A"/>
                <w:sz w:val="24"/>
                <w:szCs w:val="24"/>
              </w:rPr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>1 этажное здание, площадь 1395,72кв.м.</w:t>
            </w:r>
          </w:p>
        </w:tc>
      </w:tr>
      <w:tr>
        <w:trPr/>
        <w:tc>
          <w:tcPr>
            <w:tcW w:w="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both"/>
              <w:rPr>
                <w:highlight w:val="yellow"/>
              </w:rPr>
            </w:pPr>
            <w:r>
              <w:rPr>
                <w:rFonts w:eastAsia="Calibri" w:cs="" w:cstheme="minorBidi" w:eastAsiaTheme="minorHAnsi"/>
                <w:sz w:val="22"/>
                <w:szCs w:val="22"/>
              </w:rPr>
              <w:t>9</w:t>
            </w:r>
          </w:p>
        </w:tc>
        <w:tc>
          <w:tcPr>
            <w:tcW w:w="58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both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>Строительство торгового центра, р.п.Голышманово ул.Комсомольская, 93Б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left"/>
              <w:rPr>
                <w:highlight w:val="yellow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>разрешение на строительство от 14.10.2016 №72-507-072-2016 (до 12.10.2017)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left" w:pos="0" w:leader="none"/>
              </w:tabs>
              <w:bidi w:val="0"/>
              <w:spacing w:lineRule="auto" w:line="276" w:before="0" w:after="200"/>
              <w:ind w:right="0" w:hanging="0"/>
              <w:jc w:val="both"/>
              <w:rPr>
                <w:highlight w:val="yellow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00000A"/>
                <w:sz w:val="24"/>
                <w:szCs w:val="24"/>
                <w:u w:val="single"/>
              </w:rPr>
              <w:t>Объем инвестиций 6млн.руб. Планируемое количество рабочих мест - 2</w:t>
            </w:r>
          </w:p>
        </w:tc>
        <w:tc>
          <w:tcPr>
            <w:tcW w:w="40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ListParagraph"/>
              <w:ind w:left="0" w:right="0" w:hanging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>ИП Михайлова РП тел. 89028150313</w:t>
            </w:r>
          </w:p>
          <w:p>
            <w:pPr>
              <w:pStyle w:val="ListParagraph"/>
              <w:ind w:left="0" w:right="0" w:hanging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A"/>
                <w:sz w:val="22"/>
                <w:szCs w:val="22"/>
              </w:rPr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</w:r>
          </w:p>
          <w:p>
            <w:pPr>
              <w:pStyle w:val="ListParagraph"/>
              <w:ind w:left="0" w:right="0" w:hanging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 xml:space="preserve">площадь 574,93м2 </w:t>
            </w:r>
          </w:p>
        </w:tc>
      </w:tr>
      <w:tr>
        <w:trPr/>
        <w:tc>
          <w:tcPr>
            <w:tcW w:w="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both"/>
              <w:rPr/>
            </w:pPr>
            <w:r>
              <w:rPr>
                <w:rFonts w:eastAsia="Calibri" w:cs="" w:cstheme="minorBidi" w:eastAsiaTheme="minorHAnsi"/>
                <w:sz w:val="22"/>
                <w:szCs w:val="22"/>
              </w:rPr>
              <w:t>10</w:t>
            </w:r>
          </w:p>
        </w:tc>
        <w:tc>
          <w:tcPr>
            <w:tcW w:w="58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both"/>
              <w:rPr>
                <w:b/>
                <w:b/>
                <w:bCs/>
                <w:u w:val="single"/>
              </w:rPr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00000A"/>
                <w:sz w:val="24"/>
                <w:szCs w:val="24"/>
                <w:u w:val="single"/>
              </w:rPr>
              <w:t>Реконструкция гостиницы «Нива», общественной бани.</w:t>
            </w:r>
          </w:p>
        </w:tc>
        <w:tc>
          <w:tcPr>
            <w:tcW w:w="40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ListParagraph"/>
              <w:ind w:left="0" w:right="0" w:hanging="0"/>
              <w:jc w:val="both"/>
              <w:rPr/>
            </w:pPr>
            <w:r>
              <w:rPr>
                <w:sz w:val="22"/>
                <w:szCs w:val="22"/>
              </w:rPr>
              <w:t>ООО Запад. Герасимчук Елена Анатольевна.</w:t>
            </w:r>
          </w:p>
        </w:tc>
      </w:tr>
      <w:tr>
        <w:trPr/>
        <w:tc>
          <w:tcPr>
            <w:tcW w:w="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both"/>
              <w:rPr/>
            </w:pPr>
            <w:r>
              <w:rPr/>
              <w:t>11</w:t>
            </w:r>
          </w:p>
        </w:tc>
        <w:tc>
          <w:tcPr>
            <w:tcW w:w="58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both"/>
              <w:rPr/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>Строительство торгового-офисного центра, р.п.Голышманово ул.Советская, 28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>разрешение на строительство от 16.05.2011 №72507000-057 (до 31.12.2019)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left" w:pos="0" w:leader="none"/>
              </w:tabs>
              <w:bidi w:val="0"/>
              <w:spacing w:lineRule="auto" w:line="276" w:before="0" w:after="200"/>
              <w:ind w:right="0" w:hanging="0"/>
              <w:jc w:val="both"/>
              <w:rPr/>
            </w:pPr>
            <w:r>
              <w:rPr>
                <w:rFonts w:cs="Arial" w:ascii="Arial" w:hAnsi="Arial"/>
                <w:b/>
                <w:bCs/>
                <w:i w:val="false"/>
                <w:iCs w:val="false"/>
                <w:color w:val="00000A"/>
                <w:sz w:val="24"/>
                <w:szCs w:val="24"/>
                <w:u w:val="single"/>
              </w:rPr>
              <w:t>Объем инвестиций 10млн.руб. Планируемое количество рабочих мест — 10</w:t>
            </w:r>
          </w:p>
        </w:tc>
        <w:tc>
          <w:tcPr>
            <w:tcW w:w="40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ListParagraph"/>
              <w:ind w:left="0" w:right="0" w:hanging="0"/>
              <w:jc w:val="both"/>
              <w:rPr/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 xml:space="preserve">ИП Мерабишвили АА </w:t>
            </w:r>
          </w:p>
          <w:p>
            <w:pPr>
              <w:pStyle w:val="ListParagraph"/>
              <w:ind w:left="0" w:right="0" w:hanging="0"/>
              <w:jc w:val="both"/>
              <w:rPr>
                <w:rFonts w:ascii="Arial" w:hAnsi="Arial" w:cs="Arial"/>
                <w:b w:val="false"/>
                <w:b w:val="false"/>
                <w:bCs w:val="false"/>
                <w:color w:val="00000A"/>
                <w:sz w:val="22"/>
                <w:szCs w:val="22"/>
              </w:rPr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</w:r>
          </w:p>
          <w:p>
            <w:pPr>
              <w:pStyle w:val="ListParagraph"/>
              <w:ind w:left="0" w:right="0" w:hanging="0"/>
              <w:jc w:val="both"/>
              <w:rPr/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 xml:space="preserve">площадь здания 1256м2 </w:t>
            </w:r>
          </w:p>
          <w:p>
            <w:pPr>
              <w:pStyle w:val="ListParagraph"/>
              <w:ind w:left="0" w:right="0" w:hanging="0"/>
              <w:jc w:val="both"/>
              <w:rPr>
                <w:rFonts w:cs="Arial"/>
                <w:b w:val="false"/>
                <w:b w:val="false"/>
                <w:bCs w:val="false"/>
                <w:color w:val="00000A"/>
                <w:sz w:val="22"/>
                <w:szCs w:val="22"/>
              </w:rPr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</w:r>
          </w:p>
          <w:p>
            <w:pPr>
              <w:pStyle w:val="ListParagraph"/>
              <w:ind w:left="0" w:right="0" w:hanging="0"/>
              <w:jc w:val="both"/>
              <w:rPr/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>количество этажей - 2</w:t>
            </w:r>
          </w:p>
        </w:tc>
      </w:tr>
      <w:tr>
        <w:trPr/>
        <w:tc>
          <w:tcPr>
            <w:tcW w:w="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both"/>
              <w:rPr/>
            </w:pPr>
            <w:r>
              <w:rPr/>
              <w:t>12</w:t>
            </w:r>
          </w:p>
        </w:tc>
        <w:tc>
          <w:tcPr>
            <w:tcW w:w="58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both"/>
              <w:rPr/>
            </w:pPr>
            <w:r>
              <w:rPr>
                <w:rFonts w:ascii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>Строительство (реконструкция) торгового центра, р.п.Голышманово ул.Пролетарская.  Параметры проекта уточняются.</w:t>
            </w:r>
          </w:p>
        </w:tc>
        <w:tc>
          <w:tcPr>
            <w:tcW w:w="40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ListParagraph"/>
              <w:ind w:left="0" w:right="0" w:hanging="0"/>
              <w:jc w:val="both"/>
              <w:rPr/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>Шиншин Андрей Юрьевич</w:t>
            </w:r>
          </w:p>
          <w:p>
            <w:pPr>
              <w:pStyle w:val="ListParagraph"/>
              <w:ind w:left="0" w:right="0" w:hanging="0"/>
              <w:jc w:val="both"/>
              <w:rPr/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>г.Курган</w:t>
            </w:r>
          </w:p>
          <w:p>
            <w:pPr>
              <w:pStyle w:val="ListParagraph"/>
              <w:ind w:left="0" w:right="0" w:hanging="0"/>
              <w:jc w:val="both"/>
              <w:rPr/>
            </w:pPr>
            <w:r>
              <w:rPr>
                <w:rFonts w:cs="Arial"/>
                <w:b w:val="false"/>
                <w:bCs w:val="false"/>
                <w:color w:val="00000A"/>
                <w:sz w:val="22"/>
                <w:szCs w:val="22"/>
              </w:rPr>
              <w:t>тел.89823950069</w:t>
            </w:r>
          </w:p>
        </w:tc>
      </w:tr>
      <w:tr>
        <w:trPr/>
        <w:tc>
          <w:tcPr>
            <w:tcW w:w="5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both"/>
              <w:rPr/>
            </w:pPr>
            <w:r>
              <w:rPr/>
              <w:t>13</w:t>
            </w:r>
          </w:p>
        </w:tc>
        <w:tc>
          <w:tcPr>
            <w:tcW w:w="58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Normal"/>
              <w:widowControl/>
              <w:numPr>
                <w:ilvl w:val="0"/>
                <w:numId w:val="0"/>
              </w:numPr>
              <w:bidi w:val="0"/>
              <w:spacing w:lineRule="auto" w:line="276" w:before="0" w:after="200"/>
              <w:ind w:right="0" w:hanging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Раздельный сбор мусора (ПЭТ, бумага, картон). Услуги по уборке жилых и нежилых помещений.</w:t>
            </w:r>
          </w:p>
        </w:tc>
        <w:tc>
          <w:tcPr>
            <w:tcW w:w="40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6" w:type="dxa"/>
            </w:tcMar>
          </w:tcPr>
          <w:p>
            <w:pPr>
              <w:pStyle w:val="ListParagraph"/>
              <w:ind w:left="0" w:right="0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Эко-гол. Бровин Евгений Александрович.</w:t>
            </w:r>
          </w:p>
        </w:tc>
      </w:tr>
    </w:tbl>
    <w:p>
      <w:pPr>
        <w:pStyle w:val="BodyText2"/>
        <w:spacing w:lineRule="auto" w:line="240" w:before="0" w:after="0"/>
        <w:ind w:firstLine="708"/>
        <w:jc w:val="both"/>
        <w:rPr/>
      </w:pPr>
      <w:r>
        <w:rPr>
          <w:rStyle w:val="Pragmatica"/>
          <w:rFonts w:cs="Arial" w:ascii="Arial" w:hAnsi="Arial"/>
          <w:b/>
          <w:color w:val="00000A"/>
          <w:spacing w:val="-2"/>
          <w:sz w:val="24"/>
          <w:szCs w:val="24"/>
        </w:rPr>
        <w:t>Выполнение сопровождаемых, реализуемых и планируемых проектов, а это на сегодня 31 инвестиционный проект, в полном объеме предусматривает открытие 479новых рабочих мест с привлечением  инвестиций в основной капитал 6,030млрд. Рублей.</w:t>
      </w:r>
    </w:p>
    <w:p>
      <w:pPr>
        <w:pStyle w:val="BodyText2"/>
        <w:spacing w:lineRule="auto" w:line="240" w:before="0" w:after="0"/>
        <w:ind w:firstLine="708"/>
        <w:jc w:val="both"/>
        <w:rPr/>
      </w:pPr>
      <w:r>
        <w:rPr>
          <w:rStyle w:val="Pragmatica"/>
          <w:rFonts w:cs="Arial" w:ascii="Arial" w:hAnsi="Arial"/>
          <w:b/>
          <w:color w:val="00000A"/>
          <w:spacing w:val="-2"/>
          <w:sz w:val="24"/>
          <w:szCs w:val="24"/>
        </w:rPr>
        <w:t xml:space="preserve">Реализованные проекты за 2015, 2016, 2017 годы внесенные в Реестр проектов Тюменской области составили: 12 проектов - </w:t>
      </w:r>
      <w:r>
        <w:rPr>
          <w:rStyle w:val="Pragmatica"/>
          <w:rFonts w:cs="Arial" w:ascii="Arial" w:hAnsi="Arial"/>
          <w:b/>
          <w:bCs/>
          <w:i w:val="false"/>
          <w:iCs w:val="false"/>
          <w:color w:val="00000A"/>
          <w:spacing w:val="-2"/>
          <w:sz w:val="24"/>
          <w:szCs w:val="24"/>
          <w:u w:val="single"/>
        </w:rPr>
        <w:t>Объем инвестиций 649,05млн.руб. Вновь создано рабочих мест — 100.</w:t>
      </w:r>
    </w:p>
    <w:p>
      <w:pPr>
        <w:pStyle w:val="BodyText2"/>
        <w:spacing w:lineRule="auto" w:line="240" w:before="0" w:after="0"/>
        <w:ind w:firstLine="708"/>
        <w:jc w:val="both"/>
        <w:rPr>
          <w:rStyle w:val="Pragmatica"/>
        </w:rPr>
      </w:pPr>
      <w:r>
        <w:rPr>
          <w:rFonts w:cs="Arial" w:ascii="Arial" w:hAnsi="Arial"/>
          <w:b/>
          <w:bCs/>
          <w:i w:val="false"/>
          <w:iCs w:val="false"/>
          <w:color w:val="00000A"/>
          <w:spacing w:val="-2"/>
          <w:sz w:val="24"/>
          <w:szCs w:val="24"/>
          <w:highlight w:val="yellow"/>
          <w:u w:val="single"/>
        </w:rPr>
      </w:r>
    </w:p>
    <w:p>
      <w:pPr>
        <w:pStyle w:val="BodyText2"/>
        <w:spacing w:lineRule="auto" w:line="240" w:before="0" w:after="0"/>
        <w:ind w:firstLine="708"/>
        <w:jc w:val="both"/>
        <w:rPr/>
      </w:pPr>
      <w:r>
        <w:rPr>
          <w:rStyle w:val="Pragmatica"/>
          <w:rFonts w:cs="Arial" w:ascii="Arial" w:hAnsi="Arial"/>
          <w:color w:val="00000A"/>
          <w:spacing w:val="-2"/>
          <w:sz w:val="24"/>
          <w:szCs w:val="24"/>
        </w:rPr>
        <w:t>Начальник отдела экономики и прогнозирования                                         О.П. Швецов</w:t>
      </w:r>
    </w:p>
    <w:p>
      <w:pPr>
        <w:sectPr>
          <w:type w:val="continuous"/>
          <w:pgSz w:w="11906" w:h="16838"/>
          <w:pgMar w:left="720" w:right="582" w:header="720" w:top="1272" w:footer="0" w:bottom="720" w:gutter="0"/>
          <w:formProt w:val="false"/>
          <w:textDirection w:val="lrTb"/>
          <w:docGrid w:type="default" w:linePitch="360" w:charSpace="4294965247"/>
        </w:sectPr>
      </w:pPr>
    </w:p>
    <w:sectPr>
      <w:type w:val="continuous"/>
      <w:pgSz w:w="11906" w:h="16838"/>
      <w:pgMar w:left="720" w:right="582" w:header="720" w:top="1272" w:footer="0" w:bottom="72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PragmaticaC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PragmaticaPlai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8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ragmatica" w:customStyle="1">
    <w:name w:val="Pragmatica"/>
    <w:uiPriority w:val="99"/>
    <w:qFormat/>
    <w:rsid w:val="00562106"/>
    <w:rPr>
      <w:rFonts w:ascii="PragmaticaC" w:hAnsi="PragmaticaC" w:cs="PragmaticaC"/>
      <w:spacing w:val="0"/>
      <w:w w:val="100"/>
      <w:position w:val="0"/>
      <w:sz w:val="17"/>
      <w:sz w:val="17"/>
      <w:szCs w:val="17"/>
      <w:vertAlign w:val="baseline"/>
      <w:lang w:val="ru-RU"/>
    </w:rPr>
  </w:style>
  <w:style w:type="character" w:styleId="2" w:customStyle="1">
    <w:name w:val="Основной текст 2 Знак"/>
    <w:basedOn w:val="DefaultParagraphFont"/>
    <w:link w:val="2"/>
    <w:uiPriority w:val="99"/>
    <w:qFormat/>
    <w:rsid w:val="00562106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4" w:customStyle="1">
    <w:name w:val="Основной текст_"/>
    <w:link w:val="21"/>
    <w:qFormat/>
    <w:rsid w:val="00c92d61"/>
    <w:rPr>
      <w:shd w:fill="FFFFFF" w:val="clear"/>
    </w:rPr>
  </w:style>
  <w:style w:type="character" w:styleId="Style15" w:customStyle="1">
    <w:name w:val="Текст выноски Знак"/>
    <w:basedOn w:val="DefaultParagraphFont"/>
    <w:link w:val="a5"/>
    <w:uiPriority w:val="99"/>
    <w:semiHidden/>
    <w:qFormat/>
    <w:rsid w:val="006328a2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ascii="Arial" w:hAnsi="Arial"/>
      <w:b/>
      <w:i w:val="false"/>
      <w:sz w:val="24"/>
    </w:rPr>
  </w:style>
  <w:style w:type="character" w:styleId="ListLabel2">
    <w:name w:val="ListLabel 2"/>
    <w:qFormat/>
    <w:rPr>
      <w:b/>
      <w:i w:val="false"/>
      <w:sz w:val="24"/>
    </w:rPr>
  </w:style>
  <w:style w:type="character" w:styleId="ListLabel3">
    <w:name w:val="ListLabel 3"/>
    <w:qFormat/>
    <w:rPr>
      <w:rFonts w:ascii="Arial" w:hAnsi="Arial"/>
      <w:b/>
      <w:i w:val="false"/>
      <w:sz w:val="24"/>
    </w:rPr>
  </w:style>
  <w:style w:type="character" w:styleId="ListLabel4">
    <w:name w:val="ListLabel 4"/>
    <w:qFormat/>
    <w:rPr>
      <w:rFonts w:ascii="Arial" w:hAnsi="Arial"/>
      <w:b/>
      <w:sz w:val="24"/>
    </w:rPr>
  </w:style>
  <w:style w:type="character" w:styleId="ListLabel5">
    <w:name w:val="ListLabel 5"/>
    <w:qFormat/>
    <w:rPr>
      <w:b w:val="false"/>
    </w:rPr>
  </w:style>
  <w:style w:type="character" w:styleId="ListLabel6">
    <w:name w:val="ListLabel 6"/>
    <w:qFormat/>
    <w:rPr>
      <w:rFonts w:ascii="Arial" w:hAnsi="Arial"/>
      <w:b/>
      <w:i/>
      <w:sz w:val="24"/>
    </w:rPr>
  </w:style>
  <w:style w:type="character" w:styleId="ListLabel7">
    <w:name w:val="ListLabel 7"/>
    <w:qFormat/>
    <w:rPr>
      <w:b w:val="false"/>
      <w:i w:val="false"/>
      <w:u w:val="none"/>
    </w:rPr>
  </w:style>
  <w:style w:type="character" w:styleId="ListLabel8">
    <w:name w:val="ListLabel 8"/>
    <w:qFormat/>
    <w:rPr>
      <w:rFonts w:cs="Arial"/>
      <w:b/>
      <w:i/>
      <w:sz w:val="24"/>
    </w:rPr>
  </w:style>
  <w:style w:type="character" w:styleId="ListLabel9">
    <w:name w:val="ListLabel 9"/>
    <w:qFormat/>
    <w:rPr>
      <w:rFonts w:cs="Arial"/>
      <w:b/>
      <w:i/>
    </w:rPr>
  </w:style>
  <w:style w:type="character" w:styleId="ListLabel10">
    <w:name w:val="ListLabel 10"/>
    <w:qFormat/>
    <w:rPr>
      <w:rFonts w:cs="Arial"/>
      <w:i w:val="false"/>
      <w:sz w:val="24"/>
    </w:rPr>
  </w:style>
  <w:style w:type="character" w:styleId="ListLabel11">
    <w:name w:val="ListLabel 11"/>
    <w:qFormat/>
    <w:rPr>
      <w:rFonts w:ascii="Arial" w:hAnsi="Arial"/>
      <w:b/>
      <w:i w:val="false"/>
      <w:sz w:val="24"/>
      <w:u w:val="none"/>
    </w:rPr>
  </w:style>
  <w:style w:type="character" w:styleId="ListLabel12">
    <w:name w:val="ListLabel 12"/>
    <w:qFormat/>
    <w:rPr>
      <w:rFonts w:ascii="Arial" w:hAnsi="Arial"/>
      <w:b/>
      <w:i/>
      <w:sz w:val="24"/>
    </w:rPr>
  </w:style>
  <w:style w:type="character" w:styleId="ListLabel13">
    <w:name w:val="ListLabel 13"/>
    <w:qFormat/>
    <w:rPr>
      <w:rFonts w:ascii="Arial" w:hAnsi="Arial"/>
      <w:b/>
      <w:i w:val="false"/>
      <w:sz w:val="24"/>
    </w:rPr>
  </w:style>
  <w:style w:type="character" w:styleId="ListLabel14">
    <w:name w:val="ListLabel 14"/>
    <w:qFormat/>
    <w:rPr>
      <w:rFonts w:ascii="Arial" w:hAnsi="Arial"/>
      <w:b/>
      <w:i w:val="false"/>
      <w:sz w:val="24"/>
    </w:rPr>
  </w:style>
  <w:style w:type="character" w:styleId="ListLabel15">
    <w:name w:val="ListLabel 15"/>
    <w:qFormat/>
    <w:rPr>
      <w:rFonts w:ascii="Arial" w:hAnsi="Arial"/>
      <w:b/>
      <w:i w:val="false"/>
      <w:sz w:val="24"/>
    </w:rPr>
  </w:style>
  <w:style w:type="character" w:styleId="ListLabel16">
    <w:name w:val="ListLabel 16"/>
    <w:qFormat/>
    <w:rPr>
      <w:rFonts w:ascii="Arial" w:hAnsi="Arial"/>
      <w:b/>
      <w:sz w:val="24"/>
    </w:rPr>
  </w:style>
  <w:style w:type="character" w:styleId="ListLabel17">
    <w:name w:val="ListLabel 17"/>
    <w:qFormat/>
    <w:rPr>
      <w:rFonts w:ascii="Arial" w:hAnsi="Arial"/>
      <w:b/>
      <w:i/>
      <w:sz w:val="24"/>
    </w:rPr>
  </w:style>
  <w:style w:type="character" w:styleId="ListLabel18">
    <w:name w:val="ListLabel 18"/>
    <w:qFormat/>
    <w:rPr>
      <w:rFonts w:ascii="Arial" w:hAnsi="Arial" w:cs="Arial"/>
      <w:b/>
      <w:i/>
      <w:sz w:val="24"/>
    </w:rPr>
  </w:style>
  <w:style w:type="character" w:styleId="ListLabel19">
    <w:name w:val="ListLabel 19"/>
    <w:qFormat/>
    <w:rPr>
      <w:rFonts w:ascii="Arial" w:hAnsi="Arial" w:cs="Arial"/>
      <w:i w:val="false"/>
      <w:sz w:val="24"/>
    </w:rPr>
  </w:style>
  <w:style w:type="character" w:styleId="ListLabel20">
    <w:name w:val="ListLabel 20"/>
    <w:qFormat/>
    <w:rPr>
      <w:rFonts w:ascii="Arial" w:hAnsi="Arial"/>
      <w:b/>
      <w:i w:val="false"/>
      <w:sz w:val="24"/>
      <w:u w:val="none"/>
    </w:rPr>
  </w:style>
  <w:style w:type="character" w:styleId="ListLabel21">
    <w:name w:val="ListLabel 21"/>
    <w:qFormat/>
    <w:rPr>
      <w:rFonts w:ascii="Arial" w:hAnsi="Arial"/>
      <w:b/>
      <w:i/>
      <w:sz w:val="24"/>
    </w:rPr>
  </w:style>
  <w:style w:type="character" w:styleId="ListLabel22">
    <w:name w:val="ListLabel 22"/>
    <w:qFormat/>
    <w:rPr>
      <w:rFonts w:ascii="Arial" w:hAnsi="Arial"/>
      <w:b/>
      <w:i w:val="false"/>
      <w:sz w:val="24"/>
    </w:rPr>
  </w:style>
  <w:style w:type="character" w:styleId="ListLabel23">
    <w:name w:val="ListLabel 23"/>
    <w:qFormat/>
    <w:rPr>
      <w:rFonts w:ascii="Arial" w:hAnsi="Arial"/>
      <w:b/>
      <w:i w:val="false"/>
      <w:sz w:val="24"/>
    </w:rPr>
  </w:style>
  <w:style w:type="character" w:styleId="ListLabel24">
    <w:name w:val="ListLabel 24"/>
    <w:qFormat/>
    <w:rPr>
      <w:rFonts w:ascii="Arial" w:hAnsi="Arial"/>
      <w:b/>
      <w:i w:val="false"/>
      <w:sz w:val="24"/>
    </w:rPr>
  </w:style>
  <w:style w:type="character" w:styleId="ListLabel25">
    <w:name w:val="ListLabel 25"/>
    <w:qFormat/>
    <w:rPr>
      <w:rFonts w:ascii="Arial" w:hAnsi="Arial"/>
      <w:b/>
      <w:sz w:val="24"/>
    </w:rPr>
  </w:style>
  <w:style w:type="character" w:styleId="ListLabel26">
    <w:name w:val="ListLabel 26"/>
    <w:qFormat/>
    <w:rPr>
      <w:rFonts w:ascii="Arial" w:hAnsi="Arial"/>
      <w:b/>
      <w:i/>
      <w:sz w:val="24"/>
    </w:rPr>
  </w:style>
  <w:style w:type="character" w:styleId="ListLabel27">
    <w:name w:val="ListLabel 27"/>
    <w:qFormat/>
    <w:rPr>
      <w:rFonts w:ascii="Arial" w:hAnsi="Arial" w:cs="Arial"/>
      <w:b/>
      <w:i/>
      <w:sz w:val="24"/>
    </w:rPr>
  </w:style>
  <w:style w:type="character" w:styleId="ListLabel28">
    <w:name w:val="ListLabel 28"/>
    <w:qFormat/>
    <w:rPr>
      <w:rFonts w:ascii="Arial" w:hAnsi="Arial" w:cs="Arial"/>
      <w:i w:val="false"/>
      <w:sz w:val="24"/>
    </w:rPr>
  </w:style>
  <w:style w:type="character" w:styleId="ListLabel29">
    <w:name w:val="ListLabel 29"/>
    <w:qFormat/>
    <w:rPr>
      <w:rFonts w:ascii="Arial" w:hAnsi="Arial"/>
      <w:b/>
      <w:i w:val="false"/>
      <w:sz w:val="24"/>
      <w:u w:val="none"/>
    </w:rPr>
  </w:style>
  <w:style w:type="character" w:styleId="ListLabel30">
    <w:name w:val="ListLabel 30"/>
    <w:qFormat/>
    <w:rPr>
      <w:rFonts w:ascii="Arial" w:hAnsi="Arial"/>
      <w:b/>
      <w:i/>
      <w:sz w:val="24"/>
    </w:rPr>
  </w:style>
  <w:style w:type="character" w:styleId="ListLabel31">
    <w:name w:val="ListLabel 31"/>
    <w:qFormat/>
    <w:rPr>
      <w:rFonts w:ascii="Arial" w:hAnsi="Arial"/>
      <w:b/>
      <w:i w:val="false"/>
      <w:sz w:val="24"/>
    </w:rPr>
  </w:style>
  <w:style w:type="character" w:styleId="ListLabel32">
    <w:name w:val="ListLabel 32"/>
    <w:qFormat/>
    <w:rPr>
      <w:rFonts w:ascii="Arial" w:hAnsi="Arial"/>
      <w:b/>
      <w:i w:val="false"/>
      <w:sz w:val="24"/>
    </w:rPr>
  </w:style>
  <w:style w:type="character" w:styleId="ListLabel33">
    <w:name w:val="ListLabel 33"/>
    <w:qFormat/>
    <w:rPr>
      <w:rFonts w:ascii="Arial" w:hAnsi="Arial"/>
      <w:b/>
      <w:i w:val="false"/>
      <w:sz w:val="24"/>
    </w:rPr>
  </w:style>
  <w:style w:type="character" w:styleId="ListLabel34">
    <w:name w:val="ListLabel 34"/>
    <w:qFormat/>
    <w:rPr>
      <w:rFonts w:ascii="Arial" w:hAnsi="Arial"/>
      <w:b/>
      <w:sz w:val="24"/>
    </w:rPr>
  </w:style>
  <w:style w:type="character" w:styleId="ListLabel35">
    <w:name w:val="ListLabel 35"/>
    <w:qFormat/>
    <w:rPr>
      <w:rFonts w:ascii="Arial" w:hAnsi="Arial"/>
      <w:b/>
      <w:i/>
      <w:sz w:val="24"/>
    </w:rPr>
  </w:style>
  <w:style w:type="character" w:styleId="ListLabel36">
    <w:name w:val="ListLabel 36"/>
    <w:qFormat/>
    <w:rPr>
      <w:rFonts w:ascii="Arial" w:hAnsi="Arial" w:cs="Arial"/>
      <w:b/>
      <w:i/>
      <w:sz w:val="24"/>
    </w:rPr>
  </w:style>
  <w:style w:type="character" w:styleId="ListLabel37">
    <w:name w:val="ListLabel 37"/>
    <w:qFormat/>
    <w:rPr>
      <w:rFonts w:ascii="Arial" w:hAnsi="Arial" w:cs="Arial"/>
      <w:i w:val="false"/>
      <w:sz w:val="24"/>
    </w:rPr>
  </w:style>
  <w:style w:type="character" w:styleId="ListLabel38">
    <w:name w:val="ListLabel 38"/>
    <w:qFormat/>
    <w:rPr>
      <w:rFonts w:ascii="Arial" w:hAnsi="Arial"/>
      <w:b/>
      <w:i w:val="false"/>
      <w:sz w:val="24"/>
      <w:u w:val="none"/>
    </w:rPr>
  </w:style>
  <w:style w:type="character" w:styleId="ListLabel39">
    <w:name w:val="ListLabel 39"/>
    <w:qFormat/>
    <w:rPr>
      <w:rFonts w:ascii="Arial" w:hAnsi="Arial"/>
      <w:b/>
      <w:i/>
      <w:sz w:val="24"/>
    </w:rPr>
  </w:style>
  <w:style w:type="character" w:styleId="ListLabel40">
    <w:name w:val="ListLabel 40"/>
    <w:qFormat/>
    <w:rPr>
      <w:rFonts w:ascii="Arial" w:hAnsi="Arial"/>
      <w:b/>
      <w:i w:val="false"/>
      <w:sz w:val="24"/>
    </w:rPr>
  </w:style>
  <w:style w:type="character" w:styleId="ListLabel41">
    <w:name w:val="ListLabel 41"/>
    <w:qFormat/>
    <w:rPr>
      <w:rFonts w:ascii="Arial" w:hAnsi="Arial"/>
      <w:b/>
      <w:i w:val="false"/>
      <w:sz w:val="24"/>
    </w:rPr>
  </w:style>
  <w:style w:type="character" w:styleId="ListLabel42">
    <w:name w:val="ListLabel 42"/>
    <w:qFormat/>
    <w:rPr>
      <w:rFonts w:ascii="Arial" w:hAnsi="Arial"/>
      <w:b/>
      <w:i w:val="false"/>
      <w:sz w:val="24"/>
    </w:rPr>
  </w:style>
  <w:style w:type="character" w:styleId="ListLabel43">
    <w:name w:val="ListLabel 43"/>
    <w:qFormat/>
    <w:rPr>
      <w:rFonts w:ascii="Arial" w:hAnsi="Arial"/>
      <w:b/>
      <w:sz w:val="24"/>
    </w:rPr>
  </w:style>
  <w:style w:type="character" w:styleId="ListLabel44">
    <w:name w:val="ListLabel 44"/>
    <w:qFormat/>
    <w:rPr>
      <w:rFonts w:ascii="Arial" w:hAnsi="Arial"/>
      <w:b/>
      <w:i/>
      <w:sz w:val="24"/>
    </w:rPr>
  </w:style>
  <w:style w:type="character" w:styleId="ListLabel45">
    <w:name w:val="ListLabel 45"/>
    <w:qFormat/>
    <w:rPr>
      <w:rFonts w:ascii="Arial" w:hAnsi="Arial" w:cs="Arial"/>
      <w:b/>
      <w:i/>
      <w:sz w:val="24"/>
    </w:rPr>
  </w:style>
  <w:style w:type="character" w:styleId="ListLabel46">
    <w:name w:val="ListLabel 46"/>
    <w:qFormat/>
    <w:rPr>
      <w:rFonts w:ascii="Arial" w:hAnsi="Arial" w:cs="Arial"/>
      <w:i w:val="false"/>
      <w:sz w:val="24"/>
    </w:rPr>
  </w:style>
  <w:style w:type="character" w:styleId="ListLabel47">
    <w:name w:val="ListLabel 47"/>
    <w:qFormat/>
    <w:rPr>
      <w:rFonts w:ascii="Arial" w:hAnsi="Arial"/>
      <w:b/>
      <w:i w:val="false"/>
      <w:sz w:val="24"/>
      <w:u w:val="none"/>
    </w:rPr>
  </w:style>
  <w:style w:type="character" w:styleId="ListLabel48">
    <w:name w:val="ListLabel 48"/>
    <w:qFormat/>
    <w:rPr>
      <w:rFonts w:ascii="Arial" w:hAnsi="Arial"/>
      <w:b/>
      <w:i/>
      <w:sz w:val="24"/>
    </w:rPr>
  </w:style>
  <w:style w:type="character" w:styleId="ListLabel49">
    <w:name w:val="ListLabel 49"/>
    <w:qFormat/>
    <w:rPr>
      <w:rFonts w:ascii="Arial" w:hAnsi="Arial"/>
      <w:b/>
      <w:i w:val="false"/>
      <w:sz w:val="24"/>
    </w:rPr>
  </w:style>
  <w:style w:type="character" w:styleId="ListLabel50">
    <w:name w:val="ListLabel 50"/>
    <w:qFormat/>
    <w:rPr>
      <w:rFonts w:ascii="Arial" w:hAnsi="Arial"/>
      <w:b/>
      <w:i w:val="false"/>
      <w:sz w:val="24"/>
    </w:rPr>
  </w:style>
  <w:style w:type="character" w:styleId="ListLabel51">
    <w:name w:val="ListLabel 51"/>
    <w:qFormat/>
    <w:rPr>
      <w:rFonts w:ascii="Arial" w:hAnsi="Arial"/>
      <w:b/>
      <w:i w:val="false"/>
      <w:sz w:val="24"/>
    </w:rPr>
  </w:style>
  <w:style w:type="character" w:styleId="ListLabel52">
    <w:name w:val="ListLabel 52"/>
    <w:qFormat/>
    <w:rPr>
      <w:rFonts w:ascii="Arial" w:hAnsi="Arial"/>
      <w:b/>
      <w:sz w:val="24"/>
    </w:rPr>
  </w:style>
  <w:style w:type="character" w:styleId="ListLabel53">
    <w:name w:val="ListLabel 53"/>
    <w:qFormat/>
    <w:rPr>
      <w:rFonts w:ascii="Arial" w:hAnsi="Arial"/>
      <w:b/>
      <w:i/>
      <w:sz w:val="24"/>
    </w:rPr>
  </w:style>
  <w:style w:type="character" w:styleId="ListLabel54">
    <w:name w:val="ListLabel 54"/>
    <w:qFormat/>
    <w:rPr>
      <w:rFonts w:ascii="Arial" w:hAnsi="Arial" w:cs="Arial"/>
      <w:b/>
      <w:i/>
      <w:sz w:val="24"/>
    </w:rPr>
  </w:style>
  <w:style w:type="character" w:styleId="ListLabel55">
    <w:name w:val="ListLabel 55"/>
    <w:qFormat/>
    <w:rPr>
      <w:rFonts w:ascii="Arial" w:hAnsi="Arial" w:cs="Arial"/>
      <w:i w:val="false"/>
      <w:sz w:val="24"/>
    </w:rPr>
  </w:style>
  <w:style w:type="character" w:styleId="ListLabel56">
    <w:name w:val="ListLabel 56"/>
    <w:qFormat/>
    <w:rPr>
      <w:rFonts w:ascii="Arial" w:hAnsi="Arial"/>
      <w:b/>
      <w:i w:val="false"/>
      <w:sz w:val="24"/>
      <w:u w:val="none"/>
    </w:rPr>
  </w:style>
  <w:style w:type="character" w:styleId="ListLabel57">
    <w:name w:val="ListLabel 57"/>
    <w:qFormat/>
    <w:rPr>
      <w:rFonts w:ascii="Arial" w:hAnsi="Arial"/>
      <w:b/>
      <w:i/>
      <w:sz w:val="24"/>
    </w:rPr>
  </w:style>
  <w:style w:type="character" w:styleId="ListLabel58">
    <w:name w:val="ListLabel 58"/>
    <w:qFormat/>
    <w:rPr>
      <w:rFonts w:ascii="Arial" w:hAnsi="Arial"/>
      <w:b/>
      <w:i w:val="false"/>
      <w:sz w:val="24"/>
    </w:rPr>
  </w:style>
  <w:style w:type="character" w:styleId="ListLabel59">
    <w:name w:val="ListLabel 59"/>
    <w:qFormat/>
    <w:rPr>
      <w:rFonts w:ascii="Arial" w:hAnsi="Arial"/>
      <w:b/>
      <w:i w:val="false"/>
      <w:sz w:val="24"/>
    </w:rPr>
  </w:style>
  <w:style w:type="character" w:styleId="ListLabel60">
    <w:name w:val="ListLabel 60"/>
    <w:qFormat/>
    <w:rPr>
      <w:rFonts w:ascii="Arial" w:hAnsi="Arial"/>
      <w:b/>
      <w:i w:val="false"/>
      <w:sz w:val="24"/>
    </w:rPr>
  </w:style>
  <w:style w:type="character" w:styleId="ListLabel61">
    <w:name w:val="ListLabel 61"/>
    <w:qFormat/>
    <w:rPr>
      <w:rFonts w:ascii="Arial" w:hAnsi="Arial"/>
      <w:b/>
      <w:sz w:val="24"/>
    </w:rPr>
  </w:style>
  <w:style w:type="character" w:styleId="ListLabel62">
    <w:name w:val="ListLabel 62"/>
    <w:qFormat/>
    <w:rPr>
      <w:rFonts w:ascii="Arial" w:hAnsi="Arial"/>
      <w:b/>
      <w:i/>
      <w:sz w:val="24"/>
    </w:rPr>
  </w:style>
  <w:style w:type="character" w:styleId="ListLabel63">
    <w:name w:val="ListLabel 63"/>
    <w:qFormat/>
    <w:rPr>
      <w:rFonts w:ascii="Arial" w:hAnsi="Arial" w:cs="Arial"/>
      <w:b/>
      <w:i/>
      <w:sz w:val="24"/>
    </w:rPr>
  </w:style>
  <w:style w:type="character" w:styleId="ListLabel64">
    <w:name w:val="ListLabel 64"/>
    <w:qFormat/>
    <w:rPr>
      <w:rFonts w:ascii="Arial" w:hAnsi="Arial" w:cs="Arial"/>
      <w:i w:val="false"/>
      <w:sz w:val="24"/>
    </w:rPr>
  </w:style>
  <w:style w:type="character" w:styleId="ListLabel65">
    <w:name w:val="ListLabel 65"/>
    <w:qFormat/>
    <w:rPr>
      <w:rFonts w:ascii="Arial" w:hAnsi="Arial"/>
      <w:b/>
      <w:i w:val="false"/>
      <w:sz w:val="24"/>
      <w:u w:val="none"/>
    </w:rPr>
  </w:style>
  <w:style w:type="character" w:styleId="ListLabel66">
    <w:name w:val="ListLabel 66"/>
    <w:qFormat/>
    <w:rPr>
      <w:rFonts w:ascii="Arial" w:hAnsi="Arial"/>
      <w:b/>
      <w:i/>
      <w:sz w:val="24"/>
    </w:rPr>
  </w:style>
  <w:style w:type="character" w:styleId="ListLabel67">
    <w:name w:val="ListLabel 67"/>
    <w:qFormat/>
    <w:rPr>
      <w:rFonts w:ascii="Arial" w:hAnsi="Arial"/>
      <w:b/>
      <w:i w:val="false"/>
      <w:sz w:val="24"/>
    </w:rPr>
  </w:style>
  <w:style w:type="character" w:styleId="ListLabel68">
    <w:name w:val="ListLabel 68"/>
    <w:qFormat/>
    <w:rPr>
      <w:rFonts w:ascii="Arial" w:hAnsi="Arial"/>
      <w:b/>
      <w:i w:val="false"/>
      <w:sz w:val="24"/>
    </w:rPr>
  </w:style>
  <w:style w:type="character" w:styleId="ListLabel69">
    <w:name w:val="ListLabel 69"/>
    <w:qFormat/>
    <w:rPr>
      <w:rFonts w:ascii="Arial" w:hAnsi="Arial"/>
      <w:b/>
      <w:i w:val="false"/>
      <w:sz w:val="24"/>
    </w:rPr>
  </w:style>
  <w:style w:type="character" w:styleId="ListLabel70">
    <w:name w:val="ListLabel 70"/>
    <w:qFormat/>
    <w:rPr>
      <w:rFonts w:ascii="Arial" w:hAnsi="Arial"/>
      <w:b/>
      <w:sz w:val="24"/>
    </w:rPr>
  </w:style>
  <w:style w:type="character" w:styleId="ListLabel71">
    <w:name w:val="ListLabel 71"/>
    <w:qFormat/>
    <w:rPr>
      <w:rFonts w:ascii="Arial" w:hAnsi="Arial"/>
      <w:b/>
      <w:i/>
      <w:sz w:val="24"/>
    </w:rPr>
  </w:style>
  <w:style w:type="character" w:styleId="ListLabel72">
    <w:name w:val="ListLabel 72"/>
    <w:qFormat/>
    <w:rPr>
      <w:rFonts w:ascii="Arial" w:hAnsi="Arial" w:cs="Arial"/>
      <w:b/>
      <w:i/>
      <w:sz w:val="24"/>
    </w:rPr>
  </w:style>
  <w:style w:type="character" w:styleId="ListLabel73">
    <w:name w:val="ListLabel 73"/>
    <w:qFormat/>
    <w:rPr>
      <w:rFonts w:ascii="Arial" w:hAnsi="Arial" w:cs="Arial"/>
      <w:i w:val="false"/>
      <w:sz w:val="24"/>
    </w:rPr>
  </w:style>
  <w:style w:type="character" w:styleId="ListLabel74">
    <w:name w:val="ListLabel 74"/>
    <w:qFormat/>
    <w:rPr>
      <w:rFonts w:ascii="Arial" w:hAnsi="Arial"/>
      <w:b/>
      <w:i w:val="false"/>
      <w:sz w:val="24"/>
      <w:u w:val="none"/>
    </w:rPr>
  </w:style>
  <w:style w:type="character" w:styleId="ListLabel75">
    <w:name w:val="ListLabel 75"/>
    <w:qFormat/>
    <w:rPr>
      <w:rFonts w:ascii="Arial" w:hAnsi="Arial"/>
      <w:b/>
      <w:i/>
      <w:sz w:val="24"/>
    </w:rPr>
  </w:style>
  <w:style w:type="character" w:styleId="Style16">
    <w:name w:val="Маркеры списка"/>
    <w:qFormat/>
    <w:rPr>
      <w:rFonts w:ascii="OpenSymbol" w:hAnsi="OpenSymbol" w:eastAsia="OpenSymbol" w:cs="OpenSymbol"/>
    </w:rPr>
  </w:style>
  <w:style w:type="character" w:styleId="Style17">
    <w:name w:val="Интернет-ссылка"/>
    <w:rPr>
      <w:color w:val="000080"/>
      <w:u w:val="single"/>
      <w:lang w:val="zxx" w:eastAsia="zxx" w:bidi="zxx"/>
    </w:rPr>
  </w:style>
  <w:style w:type="character" w:styleId="ListLabel76">
    <w:name w:val="ListLabel 76"/>
    <w:qFormat/>
    <w:rPr>
      <w:b/>
      <w:i w:val="false"/>
      <w:sz w:val="24"/>
    </w:rPr>
  </w:style>
  <w:style w:type="character" w:styleId="ListLabel77">
    <w:name w:val="ListLabel 77"/>
    <w:qFormat/>
    <w:rPr>
      <w:b/>
      <w:i w:val="false"/>
      <w:sz w:val="24"/>
    </w:rPr>
  </w:style>
  <w:style w:type="character" w:styleId="ListLabel78">
    <w:name w:val="ListLabel 78"/>
    <w:qFormat/>
    <w:rPr>
      <w:rFonts w:cs="Arial"/>
      <w:b/>
      <w:i/>
      <w:sz w:val="24"/>
    </w:rPr>
  </w:style>
  <w:style w:type="character" w:styleId="ListLabel79">
    <w:name w:val="ListLabel 79"/>
    <w:qFormat/>
    <w:rPr>
      <w:rFonts w:cs="OpenSymbol"/>
    </w:rPr>
  </w:style>
  <w:style w:type="character" w:styleId="ListLabel80">
    <w:name w:val="ListLabel 80"/>
    <w:qFormat/>
    <w:rPr>
      <w:rFonts w:cs="OpenSymbol"/>
    </w:rPr>
  </w:style>
  <w:style w:type="character" w:styleId="ListLabel81">
    <w:name w:val="ListLabel 81"/>
    <w:qFormat/>
    <w:rPr>
      <w:rFonts w:cs="OpenSymbol"/>
    </w:rPr>
  </w:style>
  <w:style w:type="character" w:styleId="ListLabel82">
    <w:name w:val="ListLabel 82"/>
    <w:qFormat/>
    <w:rPr>
      <w:rFonts w:cs="OpenSymbol"/>
    </w:rPr>
  </w:style>
  <w:style w:type="character" w:styleId="ListLabel83">
    <w:name w:val="ListLabel 83"/>
    <w:qFormat/>
    <w:rPr>
      <w:rFonts w:cs="OpenSymbol"/>
    </w:rPr>
  </w:style>
  <w:style w:type="character" w:styleId="ListLabel84">
    <w:name w:val="ListLabel 84"/>
    <w:qFormat/>
    <w:rPr>
      <w:rFonts w:cs="OpenSymbol"/>
    </w:rPr>
  </w:style>
  <w:style w:type="character" w:styleId="ListLabel85">
    <w:name w:val="ListLabel 85"/>
    <w:qFormat/>
    <w:rPr>
      <w:rFonts w:cs="OpenSymbol"/>
    </w:rPr>
  </w:style>
  <w:style w:type="character" w:styleId="ListLabel86">
    <w:name w:val="ListLabel 86"/>
    <w:qFormat/>
    <w:rPr>
      <w:rFonts w:cs="OpenSymbol"/>
    </w:rPr>
  </w:style>
  <w:style w:type="character" w:styleId="ListLabel87">
    <w:name w:val="ListLabel 87"/>
    <w:qFormat/>
    <w:rPr>
      <w:rFonts w:cs="OpenSymbol"/>
    </w:rPr>
  </w:style>
  <w:style w:type="character" w:styleId="ListLabel88">
    <w:name w:val="ListLabel 88"/>
    <w:qFormat/>
    <w:rPr>
      <w:rFonts w:cs="Arial"/>
      <w:b/>
      <w:i/>
      <w:sz w:val="24"/>
    </w:rPr>
  </w:style>
  <w:style w:type="character" w:styleId="ListLabel89">
    <w:name w:val="ListLabel 89"/>
    <w:qFormat/>
    <w:rPr>
      <w:rFonts w:cs="OpenSymbol"/>
    </w:rPr>
  </w:style>
  <w:style w:type="character" w:styleId="ListLabel90">
    <w:name w:val="ListLabel 90"/>
    <w:qFormat/>
    <w:rPr>
      <w:rFonts w:cs="OpenSymbol"/>
    </w:rPr>
  </w:style>
  <w:style w:type="character" w:styleId="ListLabel91">
    <w:name w:val="ListLabel 91"/>
    <w:qFormat/>
    <w:rPr>
      <w:rFonts w:cs="OpenSymbol"/>
    </w:rPr>
  </w:style>
  <w:style w:type="character" w:styleId="ListLabel92">
    <w:name w:val="ListLabel 92"/>
    <w:qFormat/>
    <w:rPr>
      <w:rFonts w:cs="OpenSymbol"/>
    </w:rPr>
  </w:style>
  <w:style w:type="character" w:styleId="ListLabel93">
    <w:name w:val="ListLabel 93"/>
    <w:qFormat/>
    <w:rPr>
      <w:rFonts w:cs="OpenSymbol"/>
    </w:rPr>
  </w:style>
  <w:style w:type="character" w:styleId="ListLabel94">
    <w:name w:val="ListLabel 94"/>
    <w:qFormat/>
    <w:rPr>
      <w:rFonts w:cs="OpenSymbol"/>
    </w:rPr>
  </w:style>
  <w:style w:type="character" w:styleId="ListLabel95">
    <w:name w:val="ListLabel 95"/>
    <w:qFormat/>
    <w:rPr>
      <w:rFonts w:cs="OpenSymbol"/>
    </w:rPr>
  </w:style>
  <w:style w:type="character" w:styleId="ListLabel96">
    <w:name w:val="ListLabel 96"/>
    <w:qFormat/>
    <w:rPr>
      <w:rFonts w:cs="OpenSymbol"/>
    </w:rPr>
  </w:style>
  <w:style w:type="character" w:styleId="ListLabel97">
    <w:name w:val="ListLabel 97"/>
    <w:qFormat/>
    <w:rPr>
      <w:rFonts w:cs="OpenSymbol"/>
    </w:rPr>
  </w:style>
  <w:style w:type="character" w:styleId="ListLabel98">
    <w:name w:val="ListLabel 98"/>
    <w:qFormat/>
    <w:rPr>
      <w:rFonts w:cs="OpenSymbol"/>
    </w:rPr>
  </w:style>
  <w:style w:type="character" w:styleId="ListLabel99">
    <w:name w:val="ListLabel 99"/>
    <w:qFormat/>
    <w:rPr>
      <w:rFonts w:cs="OpenSymbol"/>
    </w:rPr>
  </w:style>
  <w:style w:type="character" w:styleId="ListLabel100">
    <w:name w:val="ListLabel 100"/>
    <w:qFormat/>
    <w:rPr>
      <w:rFonts w:cs="OpenSymbol"/>
    </w:rPr>
  </w:style>
  <w:style w:type="character" w:styleId="ListLabel101">
    <w:name w:val="ListLabel 101"/>
    <w:qFormat/>
    <w:rPr>
      <w:rFonts w:cs="OpenSymbol"/>
    </w:rPr>
  </w:style>
  <w:style w:type="character" w:styleId="ListLabel102">
    <w:name w:val="ListLabel 102"/>
    <w:qFormat/>
    <w:rPr>
      <w:rFonts w:cs="OpenSymbol"/>
    </w:rPr>
  </w:style>
  <w:style w:type="character" w:styleId="ListLabel103">
    <w:name w:val="ListLabel 103"/>
    <w:qFormat/>
    <w:rPr>
      <w:rFonts w:cs="OpenSymbol"/>
    </w:rPr>
  </w:style>
  <w:style w:type="character" w:styleId="ListLabel104">
    <w:name w:val="ListLabel 104"/>
    <w:qFormat/>
    <w:rPr>
      <w:rFonts w:cs="OpenSymbol"/>
    </w:rPr>
  </w:style>
  <w:style w:type="character" w:styleId="ListLabel105">
    <w:name w:val="ListLabel 105"/>
    <w:qFormat/>
    <w:rPr>
      <w:rFonts w:cs="OpenSymbol"/>
    </w:rPr>
  </w:style>
  <w:style w:type="character" w:styleId="ListLabel106">
    <w:name w:val="ListLabel 106"/>
    <w:qFormat/>
    <w:rPr>
      <w:rFonts w:cs="OpenSymbol"/>
    </w:rPr>
  </w:style>
  <w:style w:type="character" w:styleId="ListLabel107">
    <w:name w:val="ListLabel 107"/>
    <w:qFormat/>
    <w:rPr>
      <w:rFonts w:cs="OpenSymbol"/>
    </w:rPr>
  </w:style>
  <w:style w:type="character" w:styleId="ListLabel108">
    <w:name w:val="ListLabel 108"/>
    <w:qFormat/>
    <w:rPr>
      <w:rFonts w:cs="OpenSymbol"/>
    </w:rPr>
  </w:style>
  <w:style w:type="character" w:styleId="ListLabel109">
    <w:name w:val="ListLabel 109"/>
    <w:qFormat/>
    <w:rPr>
      <w:rFonts w:cs="OpenSymbol"/>
    </w:rPr>
  </w:style>
  <w:style w:type="character" w:styleId="ListLabel110">
    <w:name w:val="ListLabel 110"/>
    <w:qFormat/>
    <w:rPr>
      <w:rFonts w:cs="OpenSymbol"/>
    </w:rPr>
  </w:style>
  <w:style w:type="character" w:styleId="ListLabel111">
    <w:name w:val="ListLabel 111"/>
    <w:qFormat/>
    <w:rPr>
      <w:rFonts w:cs="OpenSymbol"/>
    </w:rPr>
  </w:style>
  <w:style w:type="character" w:styleId="ListLabel112">
    <w:name w:val="ListLabel 112"/>
    <w:qFormat/>
    <w:rPr>
      <w:rFonts w:cs="OpenSymbol"/>
    </w:rPr>
  </w:style>
  <w:style w:type="character" w:styleId="ListLabel113">
    <w:name w:val="ListLabel 113"/>
    <w:qFormat/>
    <w:rPr>
      <w:rFonts w:cs="OpenSymbol"/>
    </w:rPr>
  </w:style>
  <w:style w:type="character" w:styleId="ListLabel114">
    <w:name w:val="ListLabel 114"/>
    <w:qFormat/>
    <w:rPr>
      <w:rFonts w:cs="OpenSymbol"/>
    </w:rPr>
  </w:style>
  <w:style w:type="character" w:styleId="ListLabel115">
    <w:name w:val="ListLabel 115"/>
    <w:qFormat/>
    <w:rPr>
      <w:rFonts w:cs="OpenSymbol"/>
    </w:rPr>
  </w:style>
  <w:style w:type="character" w:styleId="ListLabel116">
    <w:name w:val="ListLabel 116"/>
    <w:qFormat/>
    <w:rPr>
      <w:rFonts w:cs="OpenSymbol"/>
    </w:rPr>
  </w:style>
  <w:style w:type="character" w:styleId="ListLabel117">
    <w:name w:val="ListLabel 117"/>
    <w:qFormat/>
    <w:rPr>
      <w:rFonts w:cs="OpenSymbol"/>
    </w:rPr>
  </w:style>
  <w:style w:type="character" w:styleId="ListLabel118">
    <w:name w:val="ListLabel 118"/>
    <w:qFormat/>
    <w:rPr>
      <w:rFonts w:cs="OpenSymbol"/>
    </w:rPr>
  </w:style>
  <w:style w:type="character" w:styleId="ListLabel119">
    <w:name w:val="ListLabel 119"/>
    <w:qFormat/>
    <w:rPr>
      <w:rFonts w:cs="OpenSymbol"/>
    </w:rPr>
  </w:style>
  <w:style w:type="character" w:styleId="ListLabel120">
    <w:name w:val="ListLabel 120"/>
    <w:qFormat/>
    <w:rPr>
      <w:rFonts w:cs="OpenSymbol"/>
    </w:rPr>
  </w:style>
  <w:style w:type="character" w:styleId="ListLabel121">
    <w:name w:val="ListLabel 121"/>
    <w:qFormat/>
    <w:rPr>
      <w:rFonts w:cs="OpenSymbol"/>
    </w:rPr>
  </w:style>
  <w:style w:type="character" w:styleId="ListLabel122">
    <w:name w:val="ListLabel 122"/>
    <w:qFormat/>
    <w:rPr>
      <w:rFonts w:cs="OpenSymbol"/>
    </w:rPr>
  </w:style>
  <w:style w:type="character" w:styleId="ListLabel123">
    <w:name w:val="ListLabel 123"/>
    <w:qFormat/>
    <w:rPr>
      <w:rFonts w:cs="OpenSymbol"/>
    </w:rPr>
  </w:style>
  <w:style w:type="character" w:styleId="ListLabel124">
    <w:name w:val="ListLabel 124"/>
    <w:qFormat/>
    <w:rPr>
      <w:rFonts w:cs="OpenSymbol"/>
    </w:rPr>
  </w:style>
  <w:style w:type="character" w:styleId="ListLabel125">
    <w:name w:val="ListLabel 125"/>
    <w:qFormat/>
    <w:rPr>
      <w:rFonts w:cs="OpenSymbol"/>
    </w:rPr>
  </w:style>
  <w:style w:type="character" w:styleId="ListLabel126">
    <w:name w:val="ListLabel 126"/>
    <w:qFormat/>
    <w:rPr>
      <w:rFonts w:cs="OpenSymbol"/>
    </w:rPr>
  </w:style>
  <w:style w:type="character" w:styleId="ListLabel127">
    <w:name w:val="ListLabel 127"/>
    <w:qFormat/>
    <w:rPr>
      <w:rFonts w:cs="OpenSymbol"/>
    </w:rPr>
  </w:style>
  <w:style w:type="character" w:styleId="ListLabel128">
    <w:name w:val="ListLabel 128"/>
    <w:qFormat/>
    <w:rPr>
      <w:rFonts w:cs="OpenSymbol"/>
    </w:rPr>
  </w:style>
  <w:style w:type="character" w:styleId="ListLabel129">
    <w:name w:val="ListLabel 129"/>
    <w:qFormat/>
    <w:rPr>
      <w:rFonts w:cs="OpenSymbol"/>
    </w:rPr>
  </w:style>
  <w:style w:type="character" w:styleId="ListLabel130">
    <w:name w:val="ListLabel 130"/>
    <w:qFormat/>
    <w:rPr>
      <w:rFonts w:cs="OpenSymbol"/>
    </w:rPr>
  </w:style>
  <w:style w:type="character" w:styleId="ListLabel131">
    <w:name w:val="ListLabel 131"/>
    <w:qFormat/>
    <w:rPr>
      <w:rFonts w:cs="OpenSymbol"/>
    </w:rPr>
  </w:style>
  <w:style w:type="character" w:styleId="ListLabel132">
    <w:name w:val="ListLabel 132"/>
    <w:qFormat/>
    <w:rPr>
      <w:rFonts w:cs="OpenSymbol"/>
    </w:rPr>
  </w:style>
  <w:style w:type="character" w:styleId="ListLabel133">
    <w:name w:val="ListLabel 133"/>
    <w:qFormat/>
    <w:rPr>
      <w:rFonts w:cs="OpenSymbol"/>
    </w:rPr>
  </w:style>
  <w:style w:type="character" w:styleId="ListLabel134">
    <w:name w:val="ListLabel 134"/>
    <w:qFormat/>
    <w:rPr>
      <w:rFonts w:cs="OpenSymbol"/>
    </w:rPr>
  </w:style>
  <w:style w:type="character" w:styleId="ListLabel135">
    <w:name w:val="ListLabel 135"/>
    <w:qFormat/>
    <w:rPr>
      <w:rFonts w:cs="OpenSymbol"/>
    </w:rPr>
  </w:style>
  <w:style w:type="character" w:styleId="ListLabel136">
    <w:name w:val="ListLabel 136"/>
    <w:qFormat/>
    <w:rPr>
      <w:rFonts w:cs="OpenSymbol"/>
    </w:rPr>
  </w:style>
  <w:style w:type="character" w:styleId="ListLabel137">
    <w:name w:val="ListLabel 137"/>
    <w:qFormat/>
    <w:rPr>
      <w:rFonts w:cs="OpenSymbol"/>
    </w:rPr>
  </w:style>
  <w:style w:type="character" w:styleId="ListLabel138">
    <w:name w:val="ListLabel 138"/>
    <w:qFormat/>
    <w:rPr>
      <w:rFonts w:cs="OpenSymbol"/>
    </w:rPr>
  </w:style>
  <w:style w:type="character" w:styleId="ListLabel139">
    <w:name w:val="ListLabel 139"/>
    <w:qFormat/>
    <w:rPr>
      <w:rFonts w:cs="OpenSymbol"/>
    </w:rPr>
  </w:style>
  <w:style w:type="character" w:styleId="ListLabel140">
    <w:name w:val="ListLabel 140"/>
    <w:qFormat/>
    <w:rPr>
      <w:rFonts w:cs="OpenSymbol"/>
    </w:rPr>
  </w:style>
  <w:style w:type="character" w:styleId="ListLabel141">
    <w:name w:val="ListLabel 141"/>
    <w:qFormat/>
    <w:rPr>
      <w:rFonts w:cs="OpenSymbol"/>
    </w:rPr>
  </w:style>
  <w:style w:type="character" w:styleId="ListLabel142">
    <w:name w:val="ListLabel 142"/>
    <w:qFormat/>
    <w:rPr>
      <w:rFonts w:cs="OpenSymbol"/>
    </w:rPr>
  </w:style>
  <w:style w:type="character" w:styleId="ListLabel143">
    <w:name w:val="ListLabel 143"/>
    <w:qFormat/>
    <w:rPr>
      <w:rFonts w:cs="OpenSymbol"/>
    </w:rPr>
  </w:style>
  <w:style w:type="character" w:styleId="ListLabel144">
    <w:name w:val="ListLabel 144"/>
    <w:qFormat/>
    <w:rPr>
      <w:rFonts w:cs="OpenSymbol"/>
    </w:rPr>
  </w:style>
  <w:style w:type="character" w:styleId="ListLabel145">
    <w:name w:val="ListLabel 145"/>
    <w:qFormat/>
    <w:rPr>
      <w:rFonts w:cs="OpenSymbol"/>
    </w:rPr>
  </w:style>
  <w:style w:type="character" w:styleId="ListLabel146">
    <w:name w:val="ListLabel 146"/>
    <w:qFormat/>
    <w:rPr>
      <w:rFonts w:cs="OpenSymbol"/>
    </w:rPr>
  </w:style>
  <w:style w:type="character" w:styleId="ListLabel147">
    <w:name w:val="ListLabel 147"/>
    <w:qFormat/>
    <w:rPr>
      <w:rFonts w:cs="OpenSymbol"/>
    </w:rPr>
  </w:style>
  <w:style w:type="character" w:styleId="ListLabel148">
    <w:name w:val="ListLabel 148"/>
    <w:qFormat/>
    <w:rPr>
      <w:rFonts w:cs="OpenSymbol"/>
    </w:rPr>
  </w:style>
  <w:style w:type="character" w:styleId="ListLabel149">
    <w:name w:val="ListLabel 149"/>
    <w:qFormat/>
    <w:rPr>
      <w:rFonts w:cs="OpenSymbol"/>
    </w:rPr>
  </w:style>
  <w:style w:type="character" w:styleId="ListLabel150">
    <w:name w:val="ListLabel 150"/>
    <w:qFormat/>
    <w:rPr>
      <w:rFonts w:cs="OpenSymbol"/>
    </w:rPr>
  </w:style>
  <w:style w:type="character" w:styleId="ListLabel151">
    <w:name w:val="ListLabel 151"/>
    <w:qFormat/>
    <w:rPr>
      <w:rFonts w:cs="OpenSymbol"/>
    </w:rPr>
  </w:style>
  <w:style w:type="character" w:styleId="ListLabel152">
    <w:name w:val="ListLabel 152"/>
    <w:qFormat/>
    <w:rPr>
      <w:rFonts w:cs="OpenSymbol"/>
    </w:rPr>
  </w:style>
  <w:style w:type="character" w:styleId="ListLabel153">
    <w:name w:val="ListLabel 153"/>
    <w:qFormat/>
    <w:rPr>
      <w:rFonts w:cs="OpenSymbol"/>
    </w:rPr>
  </w:style>
  <w:style w:type="character" w:styleId="ListLabel154">
    <w:name w:val="ListLabel 154"/>
    <w:qFormat/>
    <w:rPr>
      <w:rFonts w:cs="OpenSymbol"/>
    </w:rPr>
  </w:style>
  <w:style w:type="character" w:styleId="ListLabel155">
    <w:name w:val="ListLabel 155"/>
    <w:qFormat/>
    <w:rPr>
      <w:rFonts w:cs="OpenSymbol"/>
    </w:rPr>
  </w:style>
  <w:style w:type="character" w:styleId="ListLabel156">
    <w:name w:val="ListLabel 156"/>
    <w:qFormat/>
    <w:rPr>
      <w:rFonts w:cs="OpenSymbol"/>
    </w:rPr>
  </w:style>
  <w:style w:type="character" w:styleId="ListLabel157">
    <w:name w:val="ListLabel 157"/>
    <w:qFormat/>
    <w:rPr>
      <w:rFonts w:cs="OpenSymbol"/>
    </w:rPr>
  </w:style>
  <w:style w:type="character" w:styleId="ListLabel158">
    <w:name w:val="ListLabel 158"/>
    <w:qFormat/>
    <w:rPr>
      <w:rFonts w:cs="OpenSymbol"/>
    </w:rPr>
  </w:style>
  <w:style w:type="character" w:styleId="ListLabel159">
    <w:name w:val="ListLabel 159"/>
    <w:qFormat/>
    <w:rPr>
      <w:rFonts w:cs="OpenSymbol"/>
    </w:rPr>
  </w:style>
  <w:style w:type="character" w:styleId="ListLabel160">
    <w:name w:val="ListLabel 160"/>
    <w:qFormat/>
    <w:rPr>
      <w:rFonts w:cs="OpenSymbol"/>
    </w:rPr>
  </w:style>
  <w:style w:type="character" w:styleId="ListLabel161">
    <w:name w:val="ListLabel 161"/>
    <w:qFormat/>
    <w:rPr>
      <w:rFonts w:cs="OpenSymbol"/>
    </w:rPr>
  </w:style>
  <w:style w:type="character" w:styleId="ListLabel162">
    <w:name w:val="ListLabel 162"/>
    <w:qFormat/>
    <w:rPr>
      <w:rFonts w:cs="OpenSymbol"/>
    </w:rPr>
  </w:style>
  <w:style w:type="character" w:styleId="ListLabel163">
    <w:name w:val="ListLabel 163"/>
    <w:qFormat/>
    <w:rPr>
      <w:rFonts w:cs="OpenSymbol"/>
    </w:rPr>
  </w:style>
  <w:style w:type="character" w:styleId="ListLabel164">
    <w:name w:val="ListLabel 164"/>
    <w:qFormat/>
    <w:rPr>
      <w:rFonts w:cs="OpenSymbol"/>
    </w:rPr>
  </w:style>
  <w:style w:type="character" w:styleId="ListLabel165">
    <w:name w:val="ListLabel 165"/>
    <w:qFormat/>
    <w:rPr>
      <w:rFonts w:cs="OpenSymbol"/>
    </w:rPr>
  </w:style>
  <w:style w:type="character" w:styleId="ListLabel166">
    <w:name w:val="ListLabel 166"/>
    <w:qFormat/>
    <w:rPr>
      <w:rFonts w:cs="OpenSymbol"/>
    </w:rPr>
  </w:style>
  <w:style w:type="character" w:styleId="ListLabel167">
    <w:name w:val="ListLabel 167"/>
    <w:qFormat/>
    <w:rPr>
      <w:rFonts w:cs="OpenSymbol"/>
    </w:rPr>
  </w:style>
  <w:style w:type="character" w:styleId="ListLabel168">
    <w:name w:val="ListLabel 168"/>
    <w:qFormat/>
    <w:rPr>
      <w:rFonts w:cs="OpenSymbol"/>
    </w:rPr>
  </w:style>
  <w:style w:type="character" w:styleId="ListLabel169">
    <w:name w:val="ListLabel 169"/>
    <w:qFormat/>
    <w:rPr>
      <w:rFonts w:cs="OpenSymbol"/>
    </w:rPr>
  </w:style>
  <w:style w:type="character" w:styleId="ListLabel170">
    <w:name w:val="ListLabel 170"/>
    <w:qFormat/>
    <w:rPr>
      <w:rFonts w:cs="OpenSymbol"/>
    </w:rPr>
  </w:style>
  <w:style w:type="character" w:styleId="ListLabel171">
    <w:name w:val="ListLabel 171"/>
    <w:qFormat/>
    <w:rPr>
      <w:rFonts w:cs="OpenSymbol"/>
    </w:rPr>
  </w:style>
  <w:style w:type="character" w:styleId="ListLabel172">
    <w:name w:val="ListLabel 172"/>
    <w:qFormat/>
    <w:rPr>
      <w:rFonts w:cs="OpenSymbol"/>
    </w:rPr>
  </w:style>
  <w:style w:type="character" w:styleId="ListLabel173">
    <w:name w:val="ListLabel 173"/>
    <w:qFormat/>
    <w:rPr>
      <w:rFonts w:cs="OpenSymbol"/>
    </w:rPr>
  </w:style>
  <w:style w:type="character" w:styleId="ListLabel174">
    <w:name w:val="ListLabel 174"/>
    <w:qFormat/>
    <w:rPr>
      <w:rFonts w:cs="OpenSymbol"/>
    </w:rPr>
  </w:style>
  <w:style w:type="character" w:styleId="ListLabel175">
    <w:name w:val="ListLabel 175"/>
    <w:qFormat/>
    <w:rPr>
      <w:rFonts w:cs="OpenSymbol"/>
    </w:rPr>
  </w:style>
  <w:style w:type="character" w:styleId="ListLabel176">
    <w:name w:val="ListLabel 176"/>
    <w:qFormat/>
    <w:rPr>
      <w:rFonts w:cs="OpenSymbol"/>
    </w:rPr>
  </w:style>
  <w:style w:type="character" w:styleId="ListLabel177">
    <w:name w:val="ListLabel 177"/>
    <w:qFormat/>
    <w:rPr>
      <w:rFonts w:cs="OpenSymbol"/>
    </w:rPr>
  </w:style>
  <w:style w:type="character" w:styleId="ListLabel178">
    <w:name w:val="ListLabel 178"/>
    <w:qFormat/>
    <w:rPr>
      <w:rFonts w:cs="OpenSymbol"/>
    </w:rPr>
  </w:style>
  <w:style w:type="character" w:styleId="ListLabel179">
    <w:name w:val="ListLabel 179"/>
    <w:qFormat/>
    <w:rPr>
      <w:rFonts w:cs="OpenSymbol"/>
    </w:rPr>
  </w:style>
  <w:style w:type="character" w:styleId="ListLabel180">
    <w:name w:val="ListLabel 180"/>
    <w:qFormat/>
    <w:rPr>
      <w:rFonts w:cs="OpenSymbol"/>
    </w:rPr>
  </w:style>
  <w:style w:type="character" w:styleId="ListLabel181">
    <w:name w:val="ListLabel 181"/>
    <w:qFormat/>
    <w:rPr>
      <w:rFonts w:cs="OpenSymbol"/>
    </w:rPr>
  </w:style>
  <w:style w:type="character" w:styleId="ListLabel182">
    <w:name w:val="ListLabel 182"/>
    <w:qFormat/>
    <w:rPr>
      <w:rFonts w:cs="OpenSymbol"/>
    </w:rPr>
  </w:style>
  <w:style w:type="character" w:styleId="ListLabel183">
    <w:name w:val="ListLabel 183"/>
    <w:qFormat/>
    <w:rPr>
      <w:rFonts w:cs="OpenSymbol"/>
    </w:rPr>
  </w:style>
  <w:style w:type="character" w:styleId="ListLabel184">
    <w:name w:val="ListLabel 184"/>
    <w:qFormat/>
    <w:rPr>
      <w:rFonts w:cs="OpenSymbol"/>
    </w:rPr>
  </w:style>
  <w:style w:type="character" w:styleId="ListLabel185">
    <w:name w:val="ListLabel 185"/>
    <w:qFormat/>
    <w:rPr>
      <w:rFonts w:cs="OpenSymbol"/>
    </w:rPr>
  </w:style>
  <w:style w:type="character" w:styleId="ListLabel186">
    <w:name w:val="ListLabel 186"/>
    <w:qFormat/>
    <w:rPr>
      <w:rFonts w:cs="OpenSymbol"/>
    </w:rPr>
  </w:style>
  <w:style w:type="character" w:styleId="ListLabel187">
    <w:name w:val="ListLabel 187"/>
    <w:qFormat/>
    <w:rPr>
      <w:rFonts w:cs="OpenSymbol"/>
    </w:rPr>
  </w:style>
  <w:style w:type="character" w:styleId="ListLabel188">
    <w:name w:val="ListLabel 188"/>
    <w:qFormat/>
    <w:rPr>
      <w:rFonts w:cs="OpenSymbol"/>
    </w:rPr>
  </w:style>
  <w:style w:type="character" w:styleId="ListLabel189">
    <w:name w:val="ListLabel 189"/>
    <w:qFormat/>
    <w:rPr>
      <w:rFonts w:cs="OpenSymbol"/>
    </w:rPr>
  </w:style>
  <w:style w:type="character" w:styleId="ListLabel190">
    <w:name w:val="ListLabel 190"/>
    <w:qFormat/>
    <w:rPr>
      <w:rFonts w:cs="OpenSymbol"/>
    </w:rPr>
  </w:style>
  <w:style w:type="character" w:styleId="ListLabel191">
    <w:name w:val="ListLabel 191"/>
    <w:qFormat/>
    <w:rPr>
      <w:rFonts w:cs="OpenSymbol"/>
    </w:rPr>
  </w:style>
  <w:style w:type="character" w:styleId="ListLabel192">
    <w:name w:val="ListLabel 192"/>
    <w:qFormat/>
    <w:rPr>
      <w:rFonts w:cs="OpenSymbol"/>
    </w:rPr>
  </w:style>
  <w:style w:type="character" w:styleId="ListLabel193">
    <w:name w:val="ListLabel 193"/>
    <w:qFormat/>
    <w:rPr>
      <w:rFonts w:cs="OpenSymbol"/>
    </w:rPr>
  </w:style>
  <w:style w:type="character" w:styleId="ListLabel194">
    <w:name w:val="ListLabel 194"/>
    <w:qFormat/>
    <w:rPr>
      <w:rFonts w:cs="OpenSymbol"/>
    </w:rPr>
  </w:style>
  <w:style w:type="character" w:styleId="ListLabel195">
    <w:name w:val="ListLabel 195"/>
    <w:qFormat/>
    <w:rPr>
      <w:rFonts w:cs="OpenSymbol"/>
    </w:rPr>
  </w:style>
  <w:style w:type="character" w:styleId="ListLabel196">
    <w:name w:val="ListLabel 196"/>
    <w:qFormat/>
    <w:rPr>
      <w:rFonts w:cs="OpenSymbol"/>
    </w:rPr>
  </w:style>
  <w:style w:type="character" w:styleId="ListLabel197">
    <w:name w:val="ListLabel 197"/>
    <w:qFormat/>
    <w:rPr>
      <w:rFonts w:cs="OpenSymbol"/>
    </w:rPr>
  </w:style>
  <w:style w:type="character" w:styleId="ListLabel198">
    <w:name w:val="ListLabel 198"/>
    <w:qFormat/>
    <w:rPr>
      <w:rFonts w:cs="OpenSymbol"/>
    </w:rPr>
  </w:style>
  <w:style w:type="character" w:styleId="ListLabel199">
    <w:name w:val="ListLabel 199"/>
    <w:qFormat/>
    <w:rPr>
      <w:rFonts w:cs="OpenSymbol"/>
    </w:rPr>
  </w:style>
  <w:style w:type="character" w:styleId="ListLabel200">
    <w:name w:val="ListLabel 200"/>
    <w:qFormat/>
    <w:rPr>
      <w:rFonts w:cs="OpenSymbol"/>
    </w:rPr>
  </w:style>
  <w:style w:type="character" w:styleId="ListLabel201">
    <w:name w:val="ListLabel 201"/>
    <w:qFormat/>
    <w:rPr>
      <w:rFonts w:cs="OpenSymbol"/>
    </w:rPr>
  </w:style>
  <w:style w:type="character" w:styleId="ListLabel202">
    <w:name w:val="ListLabel 202"/>
    <w:qFormat/>
    <w:rPr>
      <w:rFonts w:cs="OpenSymbol"/>
    </w:rPr>
  </w:style>
  <w:style w:type="character" w:styleId="ListLabel203">
    <w:name w:val="ListLabel 203"/>
    <w:qFormat/>
    <w:rPr>
      <w:rFonts w:cs="OpenSymbol"/>
    </w:rPr>
  </w:style>
  <w:style w:type="character" w:styleId="ListLabel204">
    <w:name w:val="ListLabel 204"/>
    <w:qFormat/>
    <w:rPr>
      <w:rFonts w:cs="OpenSymbol"/>
    </w:rPr>
  </w:style>
  <w:style w:type="character" w:styleId="ListLabel205">
    <w:name w:val="ListLabel 205"/>
    <w:qFormat/>
    <w:rPr>
      <w:rFonts w:cs="OpenSymbol"/>
    </w:rPr>
  </w:style>
  <w:style w:type="character" w:styleId="ListLabel206">
    <w:name w:val="ListLabel 206"/>
    <w:qFormat/>
    <w:rPr>
      <w:rFonts w:cs="OpenSymbol"/>
    </w:rPr>
  </w:style>
  <w:style w:type="character" w:styleId="ListLabel207">
    <w:name w:val="ListLabel 207"/>
    <w:qFormat/>
    <w:rPr>
      <w:rFonts w:cs="OpenSymbol"/>
    </w:rPr>
  </w:style>
  <w:style w:type="character" w:styleId="ListLabel208">
    <w:name w:val="ListLabel 208"/>
    <w:qFormat/>
    <w:rPr>
      <w:rFonts w:cs="OpenSymbol"/>
    </w:rPr>
  </w:style>
  <w:style w:type="character" w:styleId="ListLabel209">
    <w:name w:val="ListLabel 209"/>
    <w:qFormat/>
    <w:rPr>
      <w:rFonts w:cs="OpenSymbol"/>
    </w:rPr>
  </w:style>
  <w:style w:type="character" w:styleId="ListLabel210">
    <w:name w:val="ListLabel 210"/>
    <w:qFormat/>
    <w:rPr>
      <w:rFonts w:cs="OpenSymbol"/>
    </w:rPr>
  </w:style>
  <w:style w:type="character" w:styleId="ListLabel211">
    <w:name w:val="ListLabel 211"/>
    <w:qFormat/>
    <w:rPr>
      <w:rFonts w:cs="OpenSymbol"/>
    </w:rPr>
  </w:style>
  <w:style w:type="character" w:styleId="ListLabel212">
    <w:name w:val="ListLabel 212"/>
    <w:qFormat/>
    <w:rPr>
      <w:rFonts w:cs="OpenSymbol"/>
    </w:rPr>
  </w:style>
  <w:style w:type="character" w:styleId="ListLabel213">
    <w:name w:val="ListLabel 213"/>
    <w:qFormat/>
    <w:rPr>
      <w:rFonts w:cs="OpenSymbol"/>
    </w:rPr>
  </w:style>
  <w:style w:type="character" w:styleId="ListLabel214">
    <w:name w:val="ListLabel 214"/>
    <w:qFormat/>
    <w:rPr>
      <w:rFonts w:cs="OpenSymbol"/>
    </w:rPr>
  </w:style>
  <w:style w:type="character" w:styleId="ListLabel215">
    <w:name w:val="ListLabel 215"/>
    <w:qFormat/>
    <w:rPr>
      <w:rFonts w:cs="OpenSymbol"/>
    </w:rPr>
  </w:style>
  <w:style w:type="character" w:styleId="ListLabel216">
    <w:name w:val="ListLabel 216"/>
    <w:qFormat/>
    <w:rPr>
      <w:rFonts w:cs="OpenSymbol"/>
    </w:rPr>
  </w:style>
  <w:style w:type="character" w:styleId="ListLabel217">
    <w:name w:val="ListLabel 217"/>
    <w:qFormat/>
    <w:rPr>
      <w:rFonts w:cs="OpenSymbol"/>
    </w:rPr>
  </w:style>
  <w:style w:type="character" w:styleId="ListLabel218">
    <w:name w:val="ListLabel 218"/>
    <w:qFormat/>
    <w:rPr>
      <w:rFonts w:cs="OpenSymbol"/>
    </w:rPr>
  </w:style>
  <w:style w:type="character" w:styleId="ListLabel219">
    <w:name w:val="ListLabel 219"/>
    <w:qFormat/>
    <w:rPr>
      <w:rFonts w:cs="OpenSymbol"/>
    </w:rPr>
  </w:style>
  <w:style w:type="character" w:styleId="ListLabel220">
    <w:name w:val="ListLabel 220"/>
    <w:qFormat/>
    <w:rPr>
      <w:rFonts w:cs="OpenSymbol"/>
    </w:rPr>
  </w:style>
  <w:style w:type="character" w:styleId="ListLabel221">
    <w:name w:val="ListLabel 221"/>
    <w:qFormat/>
    <w:rPr>
      <w:rFonts w:cs="OpenSymbol"/>
    </w:rPr>
  </w:style>
  <w:style w:type="character" w:styleId="ListLabel222">
    <w:name w:val="ListLabel 222"/>
    <w:qFormat/>
    <w:rPr>
      <w:rFonts w:cs="OpenSymbol"/>
    </w:rPr>
  </w:style>
  <w:style w:type="character" w:styleId="ListLabel223">
    <w:name w:val="ListLabel 223"/>
    <w:qFormat/>
    <w:rPr>
      <w:rFonts w:cs="OpenSymbol"/>
    </w:rPr>
  </w:style>
  <w:style w:type="paragraph" w:styleId="Style18">
    <w:name w:val="Заголовок"/>
    <w:basedOn w:val="Normal"/>
    <w:next w:val="Style19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pPr>
      <w:spacing w:lineRule="auto" w:line="288" w:before="0" w:after="140"/>
    </w:pPr>
    <w:rPr/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BodyText2">
    <w:name w:val="Body Text 2"/>
    <w:basedOn w:val="Normal"/>
    <w:link w:val="20"/>
    <w:uiPriority w:val="99"/>
    <w:qFormat/>
    <w:rsid w:val="00562106"/>
    <w:pPr>
      <w:spacing w:lineRule="auto" w:line="480" w:before="0" w:after="1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562106"/>
    <w:pPr>
      <w:spacing w:lineRule="auto" w:line="240" w:before="0" w:after="0"/>
      <w:ind w:left="720" w:hanging="0"/>
    </w:pPr>
    <w:rPr>
      <w:rFonts w:ascii="Arial" w:hAnsi="Arial" w:eastAsia="Calibri" w:cs="Arial"/>
      <w:sz w:val="27"/>
      <w:szCs w:val="27"/>
      <w:lang w:eastAsia="ru-RU"/>
    </w:rPr>
  </w:style>
  <w:style w:type="paragraph" w:styleId="1" w:customStyle="1">
    <w:name w:val="Обычный1"/>
    <w:qFormat/>
    <w:rsid w:val="00a42c61"/>
    <w:pPr>
      <w:widowControl/>
      <w:bidi w:val="0"/>
      <w:spacing w:lineRule="auto" w:line="240" w:before="100" w:after="100"/>
      <w:jc w:val="left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21" w:customStyle="1">
    <w:name w:val="Основной текст2"/>
    <w:basedOn w:val="Normal"/>
    <w:link w:val="a4"/>
    <w:qFormat/>
    <w:rsid w:val="00c92d61"/>
    <w:pPr>
      <w:shd w:val="clear" w:color="auto" w:fill="FFFFFF"/>
      <w:spacing w:lineRule="auto" w:line="240" w:before="0" w:after="60"/>
    </w:pPr>
    <w:rPr/>
  </w:style>
  <w:style w:type="paragraph" w:styleId="BalloonText">
    <w:name w:val="Balloon Text"/>
    <w:basedOn w:val="Normal"/>
    <w:link w:val="a6"/>
    <w:uiPriority w:val="99"/>
    <w:semiHidden/>
    <w:unhideWhenUsed/>
    <w:qFormat/>
    <w:rsid w:val="006328a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Pragm" w:customStyle="1">
    <w:name w:val="(pragm)"/>
    <w:basedOn w:val="Normal"/>
    <w:uiPriority w:val="99"/>
    <w:qFormat/>
    <w:rsid w:val="004372bf"/>
    <w:pPr>
      <w:spacing w:lineRule="atLeast" w:line="180" w:before="0" w:after="0"/>
      <w:ind w:firstLine="170"/>
      <w:jc w:val="both"/>
    </w:pPr>
    <w:rPr>
      <w:rFonts w:ascii="PragmaticaPlain" w:hAnsi="PragmaticaPlain" w:eastAsia="Times New Roman" w:cs="PragmaticaPlain"/>
      <w:color w:val="000000"/>
      <w:sz w:val="16"/>
      <w:szCs w:val="16"/>
      <w:lang w:eastAsia="ru-RU"/>
    </w:rPr>
  </w:style>
  <w:style w:type="paragraph" w:styleId="11" w:customStyle="1">
    <w:name w:val="Абзац списка1"/>
    <w:basedOn w:val="Normal"/>
    <w:qFormat/>
    <w:rsid w:val="007d7cad"/>
    <w:pPr>
      <w:spacing w:lineRule="auto" w:line="240" w:before="0" w:after="0"/>
      <w:ind w:left="720" w:hanging="0"/>
    </w:pPr>
    <w:rPr>
      <w:rFonts w:ascii="Arial" w:hAnsi="Arial" w:eastAsia="Times New Roman" w:cs="Arial"/>
      <w:sz w:val="27"/>
      <w:szCs w:val="27"/>
      <w:lang w:eastAsia="ru-RU"/>
    </w:rPr>
  </w:style>
  <w:style w:type="paragraph" w:styleId="ConsPlusNormal" w:customStyle="1">
    <w:name w:val="ConsPlusNormal"/>
    <w:qFormat/>
    <w:rsid w:val="00fd300d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2"/>
      <w:szCs w:val="22"/>
      <w:lang w:val="ru-RU" w:eastAsia="en-US" w:bidi="ar-SA"/>
    </w:rPr>
  </w:style>
  <w:style w:type="paragraph" w:styleId="Style23">
    <w:name w:val="Содержимое врезки"/>
    <w:basedOn w:val="Normal"/>
    <w:qFormat/>
    <w:pPr/>
    <w:rPr/>
  </w:style>
  <w:style w:type="paragraph" w:styleId="Style24">
    <w:name w:val="Header"/>
    <w:basedOn w:val="Normal"/>
    <w:pPr/>
    <w:rPr/>
  </w:style>
  <w:style w:type="paragraph" w:styleId="Style25">
    <w:name w:val="Содержимое таблицы"/>
    <w:basedOn w:val="Normal"/>
    <w:qFormat/>
    <w:pPr/>
    <w:rPr/>
  </w:style>
  <w:style w:type="paragraph" w:styleId="Style26">
    <w:name w:val="Заголовок таблицы"/>
    <w:basedOn w:val="Style25"/>
    <w:qFormat/>
    <w:pPr/>
    <w:rPr/>
  </w:style>
  <w:style w:type="paragraph" w:styleId="Style27">
    <w:name w:val="Без интервала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yperlink" Target="http://reestrio.admtyumen.ru/map/index.php" TargetMode="External"/><Relationship Id="rId4" Type="http://schemas.openxmlformats.org/officeDocument/2006/relationships/hyperlink" Target="http://reestrio.admtyumen.ru/map/index.php" TargetMode="External"/><Relationship Id="rId5" Type="http://schemas.openxmlformats.org/officeDocument/2006/relationships/hyperlink" Target="http://reestrio.admtyumen.ru/map/index.php" TargetMode="External"/><Relationship Id="rId6" Type="http://schemas.openxmlformats.org/officeDocument/2006/relationships/hyperlink" Target="http://reestrio.admtyumen.ru/map/index.php" TargetMode="External"/><Relationship Id="rId7" Type="http://schemas.openxmlformats.org/officeDocument/2006/relationships/hyperlink" Target="http://reestrio.admtyumen.ru/map/index.php" TargetMode="External"/><Relationship Id="rId8" Type="http://schemas.openxmlformats.org/officeDocument/2006/relationships/hyperlink" Target="http://reestrio.admtyumen.ru/map/index.php" TargetMode="External"/><Relationship Id="rId9" Type="http://schemas.openxmlformats.org/officeDocument/2006/relationships/hyperlink" Target="http://reestrio.admtyumen.ru/map/index.php" TargetMode="External"/><Relationship Id="rId10" Type="http://schemas.openxmlformats.org/officeDocument/2006/relationships/hyperlink" Target="http://reestrio.admtyumen.ru/map/index.php" TargetMode="External"/><Relationship Id="rId11" Type="http://schemas.openxmlformats.org/officeDocument/2006/relationships/hyperlink" Target="http://reestrio.admtyumen.ru/map/index.php" TargetMode="Externa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Application>LibreOffice/5.3.3.2$Windows_X86_64 LibreOffice_project/3d9a8b4b4e538a85e0782bd6c2d430bafe583448</Application>
  <Pages>7</Pages>
  <Words>1892</Words>
  <Characters>13391</Characters>
  <CharactersWithSpaces>15182</CharactersWithSpaces>
  <Paragraphs>236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2016-07-28T03:55:00Z</dcterms:created>
  <dc:creator>Швецов Олег Петрович</dc:creator>
  <dc:description/>
  <dc:language>ru-RU</dc:language>
  <cp:lastModifiedBy/>
  <cp:lastPrinted>2017-09-21T11:01:02Z</cp:lastPrinted>
  <dcterms:modified xsi:type="dcterms:W3CDTF">2017-09-21T11:28:48Z</dcterms:modified>
  <cp:revision>133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